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696b4c60857c969ad23ba6b85cd37d347b2ac4e"/>
    <w:p>
      <w:pPr>
        <w:pStyle w:val="Heading1"/>
      </w:pPr>
      <w:r>
        <w:t xml:space="preserve">State Street Corporation (STT) — Q2 2026 Earnings Preview</w:t>
      </w:r>
    </w:p>
    <w:p>
      <w:pPr>
        <w:pStyle w:val="FirstParagraph"/>
      </w:pPr>
      <w:r>
        <w:rPr>
          <w:b/>
          <w:bCs/>
        </w:rPr>
        <w:t xml:space="preserve">Report Date:</w:t>
      </w:r>
      <w:r>
        <w:t xml:space="preserve"> </w:t>
      </w:r>
      <w:r>
        <w:t xml:space="preserve">Thursday, July 16,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State Street enters this print on a serious roll. The stock has rallied roughly</w:t>
      </w:r>
      <w:r>
        <w:t xml:space="preserve"> </w:t>
      </w:r>
      <w:r>
        <w:rPr>
          <w:b/>
          <w:bCs/>
        </w:rPr>
        <w:t xml:space="preserve">45% year-to-date</w:t>
      </w:r>
      <w:r>
        <w:t xml:space="preserve"> </w:t>
      </w:r>
      <w:r>
        <w:t xml:space="preserve">and is up nearly 30% just since the Q1 2026 report on April 17 — a period during which it has also outpaced custody-bank peers Bank of New York (BK/BNY) and Northern Trust (NTRS). That momentum raises the bar for tomorrow's results: the market is pricing in continued upside surprises, not just an in-line quarter.</w:t>
      </w:r>
    </w:p>
    <w:p>
      <w:pPr>
        <w:pStyle w:val="BodyText"/>
      </w:pPr>
      <w:r>
        <w:rPr>
          <w:b/>
          <w:bCs/>
        </w:rPr>
        <w:t xml:space="preserve">Wall Street consensus for Q2 2026:</w:t>
      </w:r>
    </w:p>
    <w:p>
      <w:pPr>
        <w:pStyle w:val="Compact"/>
        <w:numPr>
          <w:ilvl w:val="0"/>
          <w:numId w:val="1001"/>
        </w:numPr>
      </w:pPr>
      <w:r>
        <w:rPr>
          <w:b/>
          <w:bCs/>
        </w:rPr>
        <w:t xml:space="preserve">EPS: ~$3.28</w:t>
      </w:r>
      <w:r>
        <w:t xml:space="preserve"> </w:t>
      </w:r>
      <w:r>
        <w:t xml:space="preserve">(+30% y/y)</w:t>
      </w:r>
    </w:p>
    <w:p>
      <w:pPr>
        <w:pStyle w:val="Compact"/>
        <w:numPr>
          <w:ilvl w:val="0"/>
          <w:numId w:val="1001"/>
        </w:numPr>
      </w:pPr>
      <w:r>
        <w:rPr>
          <w:b/>
          <w:bCs/>
        </w:rPr>
        <w:t xml:space="preserve">Revenue: ~$3.862B</w:t>
      </w:r>
      <w:r>
        <w:t xml:space="preserve"> </w:t>
      </w:r>
      <w:r>
        <w:t xml:space="preserve">(+12% y/y)</w:t>
      </w:r>
    </w:p>
    <w:p>
      <w:pPr>
        <w:pStyle w:val="FirstParagraph"/>
      </w:pPr>
      <w:r>
        <w:t xml:space="preserve">For context, State Street posted Q2 2025 GAAP diluted EPS of $2.17 (adjusted EPS of $2.53 ex-notables) on revenue of $3.448B, so consensus implies continued acceleration in both fee income and net interest income (NII), consistent with the momentum management flagged entering the quarter.</w:t>
      </w:r>
    </w:p>
    <w:bookmarkEnd w:id="9"/>
    <w:bookmarkStart w:id="10" w:name="Xb0bfc517ad0b1340e14b56fd2a832bbe24196f0"/>
    <w:p>
      <w:pPr>
        <w:pStyle w:val="Heading2"/>
      </w:pPr>
      <w:r>
        <w:t xml:space="preserve">2. What Happened Last Quarter (Q1 2026) — The Baseline</w:t>
      </w:r>
    </w:p>
    <w:p>
      <w:pPr>
        <w:pStyle w:val="FirstParagraph"/>
      </w:pPr>
      <w:r>
        <w:t xml:space="preserve">Q1 2026 was a blowout: total revenue hit a record $3.8B (+16% y/y ex-notables), fee revenue grew 15% y/y to $3.0B, and NII rose 17% y/y to $835M as net interest margin expanded to 116bps. Adjusted EPS grew 39% y/y to $2.84, and the company logged its</w:t>
      </w:r>
      <w:r>
        <w:t xml:space="preserve"> </w:t>
      </w:r>
      <w:r>
        <w:rPr>
          <w:b/>
          <w:bCs/>
        </w:rPr>
        <w:t xml:space="preserve">ninth consecutive quarter of positive year-over-year operating leverage</w:t>
      </w:r>
      <w:r>
        <w:t xml:space="preserve"> </w:t>
      </w:r>
      <w:r>
        <w:t xml:space="preserve">(ex-notables), with pretax margin ex-notables reaching ~29-30% (or ~31% ex-seasonal comp).</w:t>
      </w:r>
    </w:p>
    <w:p>
      <w:pPr>
        <w:pStyle w:val="BodyText"/>
      </w:pPr>
      <w:r>
        <w:t xml:space="preserve">Following that beat, management</w:t>
      </w:r>
      <w:r>
        <w:t xml:space="preserve"> </w:t>
      </w:r>
      <w:r>
        <w:rPr>
          <w:b/>
          <w:bCs/>
        </w:rPr>
        <w:t xml:space="preserve">raised full-year 2026 guidance meaningfully</w:t>
      </w:r>
      <w:r>
        <w:t xml:space="preserve">:</w:t>
      </w:r>
      <w:r>
        <w:t xml:space="preserve"> </w:t>
      </w:r>
      <w:r>
        <w:t xml:space="preserve">| Metric | Prior Guide | New Guide (as of Q1) |</w:t>
      </w:r>
      <w:r>
        <w:t xml:space="preserve"> </w:t>
      </w:r>
      <w:r>
        <w:t xml:space="preserve">|---|---|---|</w:t>
      </w:r>
      <w:r>
        <w:t xml:space="preserve"> </w:t>
      </w:r>
      <w:r>
        <w:t xml:space="preserve">| Fee revenue growth | 4-6% |</w:t>
      </w:r>
      <w:r>
        <w:t xml:space="preserve"> </w:t>
      </w:r>
      <w:r>
        <w:rPr>
          <w:b/>
          <w:bCs/>
        </w:rPr>
        <w:t xml:space="preserve">7-9%</w:t>
      </w:r>
      <w:r>
        <w:t xml:space="preserve"> </w:t>
      </w:r>
      <w:r>
        <w:t xml:space="preserve">|</w:t>
      </w:r>
      <w:r>
        <w:t xml:space="preserve"> </w:t>
      </w:r>
      <w:r>
        <w:t xml:space="preserve">| NII growth | Low single digits |</w:t>
      </w:r>
      <w:r>
        <w:t xml:space="preserve"> </w:t>
      </w:r>
      <w:r>
        <w:rPr>
          <w:b/>
          <w:bCs/>
        </w:rPr>
        <w:t xml:space="preserve">8-10%</w:t>
      </w:r>
      <w:r>
        <w:t xml:space="preserve"> </w:t>
      </w:r>
      <w:r>
        <w:t xml:space="preserve">|</w:t>
      </w:r>
      <w:r>
        <w:t xml:space="preserve"> </w:t>
      </w:r>
      <w:r>
        <w:t xml:space="preserve">| Expense growth | 3-4% |</w:t>
      </w:r>
      <w:r>
        <w:t xml:space="preserve"> </w:t>
      </w:r>
      <w:r>
        <w:rPr>
          <w:b/>
          <w:bCs/>
        </w:rPr>
        <w:t xml:space="preserve">5-6%</w:t>
      </w:r>
      <w:r>
        <w:t xml:space="preserve"> </w:t>
      </w:r>
      <w:r>
        <w:t xml:space="preserve">|</w:t>
      </w:r>
      <w:r>
        <w:t xml:space="preserve"> </w:t>
      </w:r>
      <w:r>
        <w:t xml:space="preserve">| Tax rate | ~22% | ~22% (unchanged) |</w:t>
      </w:r>
      <w:r>
        <w:t xml:space="preserve"> </w:t>
      </w:r>
      <w:r>
        <w:t xml:space="preserve">| Payout ratio | — | ~80% (GAAP basis) |</w:t>
      </w:r>
    </w:p>
    <w:p>
      <w:pPr>
        <w:pStyle w:val="BodyText"/>
      </w:pPr>
      <w:r>
        <w:t xml:space="preserve">CFO John Woods framed the NII upgrade as being "almost entirely driven by net interest margin," with a target NIM range of 110-115bps for 2026 (down slightly from Q1's 116bps) and average deposits expected in the $250-260B range. On fees, management guided that the exceptionally strong FX-trading and volatility-driven tailwinds from Q1 would "moderate gradually throughout the year" — an important nuance for modeling Q2, which still benefited from elevated market volatility.</w:t>
      </w:r>
    </w:p>
    <w:bookmarkEnd w:id="10"/>
    <w:bookmarkStart w:id="11" w:name="Xaef221aaad732c6d49c85b538c7210226d6a6fd"/>
    <w:p>
      <w:pPr>
        <w:pStyle w:val="Heading2"/>
      </w:pPr>
      <w:r>
        <w:t xml:space="preserve">3. Key Themes to Watch on the Call</w:t>
      </w:r>
    </w:p>
    <w:p>
      <w:pPr>
        <w:pStyle w:val="FirstParagraph"/>
      </w:pPr>
      <w:r>
        <w:rPr>
          <w:b/>
          <w:bCs/>
        </w:rPr>
        <w:t xml:space="preserve">a) The "July strategic/medium-term update"</w:t>
      </w:r>
      <w:r>
        <w:t xml:space="preserve"> </w:t>
      </w:r>
      <w:r>
        <w:t xml:space="preserve">— This is arguably the single biggest catalyst of the print. On the Q1 call, CEO Ron O'Hanley previewed that management would "provide a detailed update on our strategic growth and transformation initiatives" in July, and when pressed by analysts (Goldman's Alex Blostein, Wells Fargo's Mike Mayo) for specifics, CFO John Woods confirmed this update — including a refreshed medium-term pretax margin target (the prior 30% goal was already achieved in Q1) and a first attempt at quantifying the P&amp;L benefit of AI/agentic deployment —</w:t>
      </w:r>
      <w:r>
        <w:t xml:space="preserve"> </w:t>
      </w:r>
      <w:r>
        <w:rPr>
          <w:b/>
          <w:bCs/>
        </w:rPr>
        <w:t xml:space="preserve">would come on this earnings call</w:t>
      </w:r>
      <w:r>
        <w:t xml:space="preserve">. Investors should expect new medium-term targets on revenue growth, margin, and AI-driven productivity/monetization.</w:t>
      </w:r>
    </w:p>
    <w:p>
      <w:pPr>
        <w:pStyle w:val="BodyText"/>
      </w:pPr>
      <w:r>
        <w:rPr>
          <w:b/>
          <w:bCs/>
        </w:rPr>
        <w:t xml:space="preserve">b) NII trajectory and deposit mix</w:t>
      </w:r>
      <w:r>
        <w:t xml:space="preserve"> </w:t>
      </w:r>
      <w:r>
        <w:t xml:space="preserve">— Watch for confirmation that NIM is tracking toward the 110-115bps full-year range (vs. 116bps in Q1), deposit growth within the $250-260B guided band, continued non-interest-bearing deposit mix improvement (previously ~10% of total, trending "slightly higher"), and any commentary on ECB/BoE rate path assumptions (guidance embeds one ECB hike).</w:t>
      </w:r>
    </w:p>
    <w:p>
      <w:pPr>
        <w:pStyle w:val="BodyText"/>
      </w:pPr>
      <w:r>
        <w:rPr>
          <w:b/>
          <w:bCs/>
        </w:rPr>
        <w:t xml:space="preserve">c) Fee revenue durability</w:t>
      </w:r>
      <w:r>
        <w:t xml:space="preserve"> </w:t>
      </w:r>
      <w:r>
        <w:t xml:space="preserve">— Servicing fees (record AUC/A of $54.5T at Q1-end), management fees (record AUM of $5.6T, driven by ETF flows including SPYM's #1 global asset-gathering ranking in Q1), FX trading revenue (a major Q1 outperformance driver on record client volumes), and software/Alpha platform momentum (ARR +12%, backlog +11%) are all in focus. Because FX trading strength is explicitly guided to moderate, the y/y comp here is a swing factor.</w:t>
      </w:r>
    </w:p>
    <w:p>
      <w:pPr>
        <w:pStyle w:val="BodyText"/>
      </w:pPr>
      <w:r>
        <w:rPr>
          <w:b/>
          <w:bCs/>
        </w:rPr>
        <w:t xml:space="preserve">d) Expense discipline / operating leverage</w:t>
      </w:r>
      <w:r>
        <w:t xml:space="preserve"> </w:t>
      </w:r>
      <w:r>
        <w:t xml:space="preserve">— Can State Street extend its streak to a</w:t>
      </w:r>
      <w:r>
        <w:t xml:space="preserve"> </w:t>
      </w:r>
      <w:r>
        <w:rPr>
          <w:b/>
          <w:bCs/>
        </w:rPr>
        <w:t xml:space="preserve">10th consecutive quarter of positive operating leverage</w:t>
      </w:r>
      <w:r>
        <w:t xml:space="preserve"> </w:t>
      </w:r>
      <w:r>
        <w:t xml:space="preserve">ex-notables? Watch for productivity savings offsetting continued strategic investment and revenue-related cost growth (5-6% full-year expense guide).</w:t>
      </w:r>
    </w:p>
    <w:p>
      <w:pPr>
        <w:pStyle w:val="BodyText"/>
      </w:pPr>
      <w:r>
        <w:rPr>
          <w:b/>
          <w:bCs/>
        </w:rPr>
        <w:t xml:space="preserve">e) Capital return and CET1</w:t>
      </w:r>
      <w:r>
        <w:t xml:space="preserve"> </w:t>
      </w:r>
      <w:r>
        <w:t xml:space="preserve">— CET1 (standardized) was 10.6% at Q1-end, near the middle of the 10-11% target operating range after running near the top of that range in recent quarters; watch buyback pace (Q1: $400M) against an ~80% payout target and any early read on proposed Basel capital-rule changes, which management called "constructive" for State Street.</w:t>
      </w:r>
    </w:p>
    <w:p>
      <w:pPr>
        <w:pStyle w:val="BodyText"/>
      </w:pPr>
      <w:r>
        <w:rPr>
          <w:b/>
          <w:bCs/>
        </w:rPr>
        <w:t xml:space="preserve">f) Smaller but relevant items:</w:t>
      </w:r>
      <w:r>
        <w:t xml:space="preserve"> </w:t>
      </w:r>
      <w:r>
        <w:t xml:space="preserve">the Schwab-style ETF distribution-fee dynamic (management said this is not viewed as a material headwind), the NDFI/private-credit loan book (small — ~4% of loans, well-collateralized, no losses in subscription finance/AAA CLO book historically), digital assets/tokenization progress (Galaxy partnership, DTCC/Fnality initiatives), and the recent Treasury selection of SPYM as the default "Trump Accounts" investment vehicle — a incremental positive for passive AUM flows given the fund's ultra-low 2bp expense ratio.</w:t>
      </w:r>
    </w:p>
    <w:bookmarkEnd w:id="11"/>
    <w:bookmarkStart w:id="12" w:name="X043ac2aeeb4ba9b27f87355489a13ef749efa7a"/>
    <w:p>
      <w:pPr>
        <w:pStyle w:val="Heading2"/>
      </w:pPr>
      <w:r>
        <w:t xml:space="preserve">4. Peer Read-Through: A Very Favorable Backdrop</w:t>
      </w:r>
    </w:p>
    <w:p>
      <w:pPr>
        <w:pStyle w:val="FirstParagraph"/>
      </w:pPr>
      <w:r>
        <w:t xml:space="preserve">The data points released just ahead of State Street's print are unambiguously supportive:</w:t>
      </w:r>
    </w:p>
    <w:p>
      <w:pPr>
        <w:pStyle w:val="Compact"/>
        <w:numPr>
          <w:ilvl w:val="0"/>
          <w:numId w:val="1002"/>
        </w:numPr>
      </w:pPr>
      <w:r>
        <w:rPr>
          <w:b/>
          <w:bCs/>
        </w:rPr>
        <w:t xml:space="preserve">BNY (BK)</w:t>
      </w:r>
      <w:r>
        <w:t xml:space="preserve"> </w:t>
      </w:r>
      <w:r>
        <w:t xml:space="preserve">reported record Q2 results on July 15 — revenue of $5.7B (+13% y/y), adjusted EPS of $2.46 vs. $2.22 expected, NII up 20%, AUC/A up 12% to $62.6T, and</w:t>
      </w:r>
      <w:r>
        <w:t xml:space="preserve"> </w:t>
      </w:r>
      <w:r>
        <w:rPr>
          <w:b/>
          <w:bCs/>
        </w:rPr>
        <w:t xml:space="preserve">raised full-year revenue growth guidance to 10-11% from ~5%</w:t>
      </w:r>
      <w:r>
        <w:t xml:space="preserve">, far ahead of Street expectations of 7.8%. As State Street's closest direct peer in custody/servicing, this is a strong signal for STT's own servicing-fee and NII trends.</w:t>
      </w:r>
    </w:p>
    <w:p>
      <w:pPr>
        <w:pStyle w:val="Compact"/>
        <w:numPr>
          <w:ilvl w:val="0"/>
          <w:numId w:val="1002"/>
        </w:numPr>
      </w:pPr>
      <w:r>
        <w:rPr>
          <w:b/>
          <w:bCs/>
        </w:rPr>
        <w:t xml:space="preserve">JPMorgan</w:t>
      </w:r>
      <w:r>
        <w:t xml:space="preserve"> </w:t>
      </w:r>
      <w:r>
        <w:t xml:space="preserve">posted record profit ($21.2B) with equity trading revenue surging 86% and investment banking fees up 30% y/y, underscoring a booming capital-markets and volatility environment that flows through to State Street's FX trading and markets business.</w:t>
      </w:r>
    </w:p>
    <w:p>
      <w:pPr>
        <w:pStyle w:val="Compact"/>
        <w:numPr>
          <w:ilvl w:val="0"/>
          <w:numId w:val="1002"/>
        </w:numPr>
      </w:pPr>
      <w:r>
        <w:rPr>
          <w:b/>
          <w:bCs/>
        </w:rPr>
        <w:t xml:space="preserve">Wells Fargo</w:t>
      </w:r>
      <w:r>
        <w:t xml:space="preserve"> </w:t>
      </w:r>
      <w:r>
        <w:t xml:space="preserve">and</w:t>
      </w:r>
      <w:r>
        <w:t xml:space="preserve"> </w:t>
      </w:r>
      <w:r>
        <w:rPr>
          <w:b/>
          <w:bCs/>
        </w:rPr>
        <w:t xml:space="preserve">Morgan Stanley</w:t>
      </w:r>
      <w:r>
        <w:t xml:space="preserve"> </w:t>
      </w:r>
      <w:r>
        <w:t xml:space="preserve">also posted beats, with Morgan Stanley benefiting from a "stock trading boom" and record trading revenue.</w:t>
      </w:r>
    </w:p>
    <w:p>
      <w:pPr>
        <w:pStyle w:val="Compact"/>
        <w:numPr>
          <w:ilvl w:val="0"/>
          <w:numId w:val="1002"/>
        </w:numPr>
      </w:pPr>
      <w:r>
        <w:t xml:space="preserve">Broader bank sector commentary notes that the top five Wall Street banks combined for</w:t>
      </w:r>
      <w:r>
        <w:t xml:space="preserve"> </w:t>
      </w:r>
      <w:r>
        <w:rPr>
          <w:b/>
          <w:bCs/>
        </w:rPr>
        <w:t xml:space="preserve">over $50 billion in trading revenue</w:t>
      </w:r>
      <w:r>
        <w:t xml:space="preserve"> </w:t>
      </w:r>
      <w:r>
        <w:t xml:space="preserve">in the quarter, and that financials have been technically strong all year, led by capital-markets-sensitive names.</w:t>
      </w:r>
    </w:p>
    <w:p>
      <w:pPr>
        <w:pStyle w:val="FirstParagraph"/>
      </w:pPr>
      <w:r>
        <w:t xml:space="preserve">This backdrop — strong markets activity, elevated (but moderating) volatility, and rising AUC/A across custodians — supports the case for another beat-and-raise quarter from State Street, though it also means expectations (and the stock's valuation) have already moved up substantially.</w:t>
      </w:r>
    </w:p>
    <w:bookmarkEnd w:id="12"/>
    <w:bookmarkStart w:id="13" w:name="X641823bf77267e1ba9b94060d5f0f6b6665981b"/>
    <w:p>
      <w:pPr>
        <w:pStyle w:val="Heading2"/>
      </w:pPr>
      <w:r>
        <w:t xml:space="preserve">5. Stock Setup</w:t>
      </w:r>
    </w:p>
    <w:p>
      <w:pPr>
        <w:pStyle w:val="FirstParagraph"/>
      </w:pPr>
      <w:r>
        <w:t xml:space="preserve">STT closed at</w:t>
      </w:r>
      <w:r>
        <w:t xml:space="preserve"> </w:t>
      </w:r>
      <w:r>
        <w:rPr>
          <w:b/>
          <w:bCs/>
        </w:rPr>
        <w:t xml:space="preserve">$186.62</w:t>
      </w:r>
      <w:r>
        <w:t xml:space="preserve"> </w:t>
      </w:r>
      <w:r>
        <w:t xml:space="preserve">on July 15, 2026, having run from roughly $126 at the time of the Q1 print to record levels ahead of Q2 earnings — a ~48% gain since April 17. Peers have also rallied (BK +32% YTD-ish, NTRS +37% YTD-ish through mid-July), but STT has been a relative outperformer. With such a strong move already priced in, the bar for "beat and raise" is high, and the market's focus may shift as much to the</w:t>
      </w:r>
      <w:r>
        <w:t xml:space="preserve"> </w:t>
      </w:r>
      <w:r>
        <w:rPr>
          <w:b/>
          <w:bCs/>
        </w:rPr>
        <w:t xml:space="preserve">medium-term strategic targets</w:t>
      </w:r>
      <w:r>
        <w:t xml:space="preserve"> </w:t>
      </w:r>
      <w:r>
        <w:t xml:space="preserve">unveiled on the call as to the Q2 numbers themselves.</w:t>
      </w:r>
    </w:p>
    <w:bookmarkEnd w:id="13"/>
    <w:bookmarkStart w:id="14" w:name="X49e34d9056703e0521ab3ce2e920b2c4ba97a36"/>
    <w:p>
      <w:pPr>
        <w:pStyle w:val="Heading2"/>
      </w:pPr>
      <w:r>
        <w:t xml:space="preserve">6. Bottom Line</w:t>
      </w:r>
    </w:p>
    <w:p>
      <w:pPr>
        <w:pStyle w:val="FirstParagraph"/>
      </w:pPr>
      <w:r>
        <w:t xml:space="preserve">Going into Thursday's report, the setup favors continued strong execution: Q1's record results, raised full-year guidance (fee revenue +7-9%, NII +8-10%), a highly supportive markets/volatility backdrop evidenced by blowout peer prints (especially BNY), and management's own promise of a substantive medium-term strategic update make this a print with multiple potential catalysts beyond the headline EPS/revenue numbers. Key swing factors to watch: (1) whether FX trading and NII momentum decelerated as guided or surprised again to the upside, (2) expense growth relative to revenue (extending the operating-leverage streak), and (3) the substance of the new medium-term targets and AI-monetization framework — which could be the more important driver of the stock's next leg than the quarter itself, given how much good news is already reflected in the share price.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2026-07-16T01:40:31Z</dcterms:created>
  <dcterms:modified xsi:type="dcterms:W3CDTF">2026-07-16T01:40:31Z</dcterms:modified>
</cp:coreProperties>
</file>

<file path=docProps/custom.xml><?xml version="1.0" encoding="utf-8"?>
<Properties xmlns="http://schemas.openxmlformats.org/officeDocument/2006/custom-properties" xmlns:vt="http://schemas.openxmlformats.org/officeDocument/2006/docPropsVTypes"/>
</file>