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1201a4744f33c1efe31122683864738653cc0bf"/>
    <w:p>
      <w:pPr>
        <w:pStyle w:val="Heading1"/>
      </w:pPr>
      <w:r>
        <w:t xml:space="preserve">State Street (STT) Q2 2026 Earnings Preview</w:t>
      </w:r>
    </w:p>
    <w:p>
      <w:pPr>
        <w:pStyle w:val="BlockText"/>
      </w:pPr>
      <w:r>
        <w:rPr>
          <w:b/>
          <w:bCs/>
        </w:rPr>
        <w:t xml:space="preserve">Timing clarification:</w:t>
      </w:r>
      <w:r>
        <w:t xml:space="preserve"> </w:t>
      </w:r>
      <w:r>
        <w:t xml:space="preserve">State Street is scheduled to release results</w:t>
      </w:r>
      <w:r>
        <w:t xml:space="preserve"> </w:t>
      </w:r>
      <w:r>
        <w:rPr>
          <w:b/>
          <w:bCs/>
        </w:rPr>
        <w:t xml:space="preserve">today, Thursday, July 16, 2026</w:t>
      </w:r>
      <w:r>
        <w:t xml:space="preserve">, at approximately</w:t>
      </w:r>
      <w:r>
        <w:t xml:space="preserve"> </w:t>
      </w:r>
      <w:r>
        <w:rPr>
          <w:b/>
          <w:bCs/>
        </w:rPr>
        <w:t xml:space="preserve">7:30 a.m. ET</w:t>
      </w:r>
      <w:r>
        <w:t xml:space="preserve">, followed by its conference call at</w:t>
      </w:r>
      <w:r>
        <w:t xml:space="preserve"> </w:t>
      </w:r>
      <w:r>
        <w:rPr>
          <w:b/>
          <w:bCs/>
        </w:rPr>
        <w:t xml:space="preserve">11:00 a.m. ET</w:t>
      </w:r>
      <w:r>
        <w:t xml:space="preserve">—not tomorrow.</w:t>
      </w:r>
    </w:p>
    <w:bookmarkStart w:id="9" w:name="the-setup"/>
    <w:p>
      <w:pPr>
        <w:pStyle w:val="Heading2"/>
      </w:pPr>
      <w:r>
        <w:t xml:space="preserve">The setup</w:t>
      </w:r>
    </w:p>
    <w:p>
      <w:pPr>
        <w:pStyle w:val="FirstParagraph"/>
      </w:pPr>
      <w:r>
        <w:t xml:space="preserve">Expectations are elevated following a strong first quarter and a sharp rally in the shares.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Q2 2026 consensus</w:t>
            </w:r>
          </w:p>
        </w:tc>
        <w:tc>
          <w:tcPr/>
          <w:p>
            <w:pPr>
              <w:pStyle w:val="Compact"/>
              <w:jc w:val="right"/>
            </w:pPr>
            <w:r>
              <w:t xml:space="preserve">Prior-year comparison</w:t>
            </w:r>
          </w:p>
        </w:tc>
      </w:tr>
      <w:tr>
        <w:tc>
          <w:tcPr/>
          <w:p>
            <w:pPr>
              <w:pStyle w:val="Compact"/>
            </w:pPr>
            <w:r>
              <w:t xml:space="preserve">EPS</w:t>
            </w:r>
          </w:p>
        </w:tc>
        <w:tc>
          <w:tcPr/>
          <w:p>
            <w:pPr>
              <w:pStyle w:val="Compact"/>
              <w:jc w:val="right"/>
            </w:pPr>
            <w:r>
              <w:rPr>
                <w:b/>
                <w:bCs/>
              </w:rPr>
              <w:t xml:space="preserve">$3.28</w:t>
            </w:r>
          </w:p>
        </w:tc>
        <w:tc>
          <w:tcPr/>
          <w:p>
            <w:pPr>
              <w:pStyle w:val="Compact"/>
              <w:jc w:val="right"/>
            </w:pPr>
            <w:r>
              <w:t xml:space="preserve">$2.53 adjusted</w:t>
            </w:r>
          </w:p>
        </w:tc>
      </w:tr>
      <w:tr>
        <w:tc>
          <w:tcPr/>
          <w:p>
            <w:pPr>
              <w:pStyle w:val="Compact"/>
            </w:pPr>
            <w:r>
              <w:t xml:space="preserve">Revenue</w:t>
            </w:r>
          </w:p>
        </w:tc>
        <w:tc>
          <w:tcPr/>
          <w:p>
            <w:pPr>
              <w:pStyle w:val="Compact"/>
              <w:jc w:val="right"/>
            </w:pPr>
            <w:r>
              <w:rPr>
                <w:b/>
                <w:bCs/>
              </w:rPr>
              <w:t xml:space="preserve">$3.862 billion</w:t>
            </w:r>
          </w:p>
        </w:tc>
        <w:tc>
          <w:tcPr/>
          <w:p>
            <w:pPr>
              <w:pStyle w:val="Compact"/>
              <w:jc w:val="right"/>
            </w:pPr>
            <w:r>
              <w:t xml:space="preserve">$3.448 billion reported</w:t>
            </w:r>
          </w:p>
        </w:tc>
      </w:tr>
    </w:tbl>
    <w:p>
      <w:pPr>
        <w:pStyle w:val="BodyText"/>
      </w:pPr>
      <w:r>
        <w:t xml:space="preserve">Consensus therefore implies approximately</w:t>
      </w:r>
      <w:r>
        <w:t xml:space="preserve"> </w:t>
      </w:r>
      <w:r>
        <w:rPr>
          <w:b/>
          <w:bCs/>
        </w:rPr>
        <w:t xml:space="preserve">30% adjusted EPS growth</w:t>
      </w:r>
      <w:r>
        <w:t xml:space="preserve"> </w:t>
      </w:r>
      <w:r>
        <w:t xml:space="preserve">and</w:t>
      </w:r>
      <w:r>
        <w:t xml:space="preserve"> </w:t>
      </w:r>
      <w:r>
        <w:rPr>
          <w:b/>
          <w:bCs/>
        </w:rPr>
        <w:t xml:space="preserve">12% revenue growth</w:t>
      </w:r>
      <w:r>
        <w:t xml:space="preserve"> </w:t>
      </w:r>
      <w:r>
        <w:t xml:space="preserve">year over year.</w:t>
      </w:r>
    </w:p>
    <w:p>
      <w:pPr>
        <w:pStyle w:val="BodyText"/>
      </w:pPr>
      <w:r>
        <w:t xml:space="preserve">STT closed at</w:t>
      </w:r>
      <w:r>
        <w:t xml:space="preserve"> </w:t>
      </w:r>
      <w:r>
        <w:rPr>
          <w:b/>
          <w:bCs/>
        </w:rPr>
        <w:t xml:space="preserve">$186.62 on July 15</w:t>
      </w:r>
      <w:r>
        <w:t xml:space="preserve">, up approximately</w:t>
      </w:r>
      <w:r>
        <w:t xml:space="preserve"> </w:t>
      </w:r>
      <w:r>
        <w:rPr>
          <w:b/>
          <w:bCs/>
        </w:rPr>
        <w:t xml:space="preserve">45% year to date</w:t>
      </w:r>
      <w:r>
        <w:t xml:space="preserve"> </w:t>
      </w:r>
      <w:r>
        <w:t xml:space="preserve">and</w:t>
      </w:r>
      <w:r>
        <w:t xml:space="preserve"> </w:t>
      </w:r>
      <w:r>
        <w:rPr>
          <w:b/>
          <w:bCs/>
        </w:rPr>
        <w:t xml:space="preserve">32% since the day before its Q1 report</w:t>
      </w:r>
      <w:r>
        <w:t xml:space="preserve">. The market is already pricing in continued operating leverage and a favorable strategic update. A routine earnings beat may not be enough; the revenue mix, expense outlook, and new medium-term targets are likely to determine the reaction.</w:t>
      </w:r>
    </w:p>
    <w:bookmarkEnd w:id="9"/>
    <w:bookmarkStart w:id="14" w:name="what-matters-most"/>
    <w:p>
      <w:pPr>
        <w:pStyle w:val="Heading2"/>
      </w:pPr>
      <w:r>
        <w:t xml:space="preserve">What matters most</w:t>
      </w:r>
    </w:p>
    <w:bookmarkStart w:id="10" w:name="X1f443c6671706131f27a497d121962313509a29"/>
    <w:p>
      <w:pPr>
        <w:pStyle w:val="Heading3"/>
      </w:pPr>
      <w:r>
        <w:t xml:space="preserve">1. Market-sensitive fees should be strong—but organic growth must be visible</w:t>
      </w:r>
    </w:p>
    <w:p>
      <w:pPr>
        <w:pStyle w:val="FirstParagraph"/>
      </w:pPr>
      <w:r>
        <w:t xml:space="preserve">The second-quarter market backdrop was highly favorable for State Street’s custody and asset-management businesses. From March 31 through June 30:</w:t>
      </w:r>
    </w:p>
    <w:p>
      <w:pPr>
        <w:pStyle w:val="Compact"/>
        <w:numPr>
          <w:ilvl w:val="0"/>
          <w:numId w:val="1001"/>
        </w:numPr>
      </w:pPr>
      <w:r>
        <w:t xml:space="preserve">The S&amp;P 500 rose approximately</w:t>
      </w:r>
      <w:r>
        <w:t xml:space="preserve"> </w:t>
      </w:r>
      <w:r>
        <w:rPr>
          <w:b/>
          <w:bCs/>
        </w:rPr>
        <w:t xml:space="preserve">15%</w:t>
      </w:r>
      <w:r>
        <w:t xml:space="preserve">.</w:t>
      </w:r>
    </w:p>
    <w:p>
      <w:pPr>
        <w:pStyle w:val="Compact"/>
        <w:numPr>
          <w:ilvl w:val="0"/>
          <w:numId w:val="1001"/>
        </w:numPr>
      </w:pPr>
      <w:r>
        <w:t xml:space="preserve">Global equities rose approximately</w:t>
      </w:r>
      <w:r>
        <w:t xml:space="preserve"> </w:t>
      </w:r>
      <w:r>
        <w:rPr>
          <w:b/>
          <w:bCs/>
        </w:rPr>
        <w:t xml:space="preserve">13%</w:t>
      </w:r>
      <w:r>
        <w:t xml:space="preserve">.</w:t>
      </w:r>
    </w:p>
    <w:p>
      <w:pPr>
        <w:pStyle w:val="Compact"/>
        <w:numPr>
          <w:ilvl w:val="0"/>
          <w:numId w:val="1001"/>
        </w:numPr>
      </w:pPr>
      <w:r>
        <w:t xml:space="preserve">Broad U.S. bonds were roughly flat.</w:t>
      </w:r>
    </w:p>
    <w:p>
      <w:pPr>
        <w:pStyle w:val="Compact"/>
        <w:numPr>
          <w:ilvl w:val="0"/>
          <w:numId w:val="1001"/>
        </w:numPr>
      </w:pPr>
      <w:r>
        <w:t xml:space="preserve">Gold declined approximately</w:t>
      </w:r>
      <w:r>
        <w:t xml:space="preserve"> </w:t>
      </w:r>
      <w:r>
        <w:rPr>
          <w:b/>
          <w:bCs/>
        </w:rPr>
        <w:t xml:space="preserve">14%</w:t>
      </w:r>
      <w:r>
        <w:t xml:space="preserve">.</w:t>
      </w:r>
    </w:p>
    <w:p>
      <w:pPr>
        <w:pStyle w:val="FirstParagraph"/>
      </w:pPr>
      <w:r>
        <w:t xml:space="preserve">Higher average and period-end equity markets should lift both</w:t>
      </w:r>
      <w:r>
        <w:t xml:space="preserve"> </w:t>
      </w:r>
      <w:r>
        <w:rPr>
          <w:b/>
          <w:bCs/>
        </w:rPr>
        <w:t xml:space="preserve">servicing fees</w:t>
      </w:r>
      <w:r>
        <w:t xml:space="preserve"> </w:t>
      </w:r>
      <w:r>
        <w:t xml:space="preserve">and</w:t>
      </w:r>
      <w:r>
        <w:t xml:space="preserve"> </w:t>
      </w:r>
      <w:r>
        <w:rPr>
          <w:b/>
          <w:bCs/>
        </w:rPr>
        <w:t xml:space="preserve">management fees</w:t>
      </w:r>
      <w:r>
        <w:t xml:space="preserve">, while likely pushing assets under custody/administration and assets under management to new records. STT entered the quarter with</w:t>
      </w:r>
      <w:r>
        <w:t xml:space="preserve"> </w:t>
      </w:r>
      <m:oMath>
        <m:r>
          <m:t>54.5</m:t>
        </m:r>
        <m:r>
          <m:t>t</m:t>
        </m:r>
        <m:r>
          <m:t>r</m:t>
        </m:r>
        <m:r>
          <m:t>i</m:t>
        </m:r>
        <m:r>
          <m:t>l</m:t>
        </m:r>
        <m:r>
          <m:t>l</m:t>
        </m:r>
        <m:r>
          <m:t>i</m:t>
        </m:r>
        <m:r>
          <m:t>o</m:t>
        </m:r>
        <m:r>
          <m:t>n</m:t>
        </m:r>
        <m:r>
          <m:t>o</m:t>
        </m:r>
        <m:r>
          <m:t>f</m:t>
        </m:r>
        <m:r>
          <m:t>A</m:t>
        </m:r>
        <m:r>
          <m:t>U</m:t>
        </m:r>
        <m:r>
          <m:t>C</m:t>
        </m:r>
        <m:r>
          <m:rPr>
            <m:sty m:val="p"/>
          </m:rPr>
          <m:t>/</m:t>
        </m:r>
        <m:r>
          <m:t>A</m:t>
        </m:r>
        <m:r>
          <m:rPr>
            <m:sty m:val="p"/>
          </m:rPr>
          <m:t>*</m:t>
        </m:r>
        <m:r>
          <m:rPr>
            <m:sty m:val="p"/>
          </m:rPr>
          <m:t>*</m:t>
        </m:r>
        <m:r>
          <m:t>a</m:t>
        </m:r>
        <m:r>
          <m:t>n</m:t>
        </m:r>
        <m:r>
          <m:t>d</m:t>
        </m:r>
        <m:r>
          <m:rPr>
            <m:sty m:val="p"/>
          </m:rPr>
          <m:t>*</m:t>
        </m:r>
        <m:r>
          <m:rPr>
            <m:sty m:val="p"/>
          </m:rPr>
          <m:t>*</m:t>
        </m:r>
      </m:oMath>
      <w:r>
        <w:rPr>
          <w:b/>
          <w:bCs/>
        </w:rPr>
        <w:t xml:space="preserve">5.62 trillion of AUM</w:t>
      </w:r>
      <w:r>
        <w:t xml:space="preserve">.</w:t>
      </w:r>
    </w:p>
    <w:p>
      <w:pPr>
        <w:pStyle w:val="BodyText"/>
      </w:pPr>
      <w:r>
        <w:t xml:space="preserve">However, investors should separate market appreciation from underlying franchise momentum. The important disclosures will be:</w:t>
      </w:r>
    </w:p>
    <w:p>
      <w:pPr>
        <w:pStyle w:val="Compact"/>
        <w:numPr>
          <w:ilvl w:val="0"/>
          <w:numId w:val="1002"/>
        </w:numPr>
      </w:pPr>
      <w:r>
        <w:t xml:space="preserve">Net asset flows, particularly in ETFs, fixed income, retirement and cash products.</w:t>
      </w:r>
    </w:p>
    <w:p>
      <w:pPr>
        <w:pStyle w:val="Compact"/>
        <w:numPr>
          <w:ilvl w:val="0"/>
          <w:numId w:val="1002"/>
        </w:numPr>
      </w:pPr>
      <w:r>
        <w:t xml:space="preserve">Servicing-fee sales and the conversion of previously won mandates.</w:t>
      </w:r>
    </w:p>
    <w:p>
      <w:pPr>
        <w:pStyle w:val="Compact"/>
        <w:numPr>
          <w:ilvl w:val="0"/>
          <w:numId w:val="1002"/>
        </w:numPr>
      </w:pPr>
      <w:r>
        <w:t xml:space="preserve">Retention and de-installation activity.</w:t>
      </w:r>
    </w:p>
    <w:p>
      <w:pPr>
        <w:pStyle w:val="Compact"/>
        <w:numPr>
          <w:ilvl w:val="0"/>
          <w:numId w:val="1002"/>
        </w:numPr>
      </w:pPr>
      <w:r>
        <w:t xml:space="preserve">Additional State Street Alpha mandates.</w:t>
      </w:r>
    </w:p>
    <w:p>
      <w:pPr>
        <w:pStyle w:val="Compact"/>
        <w:numPr>
          <w:ilvl w:val="0"/>
          <w:numId w:val="1002"/>
        </w:numPr>
      </w:pPr>
      <w:r>
        <w:t xml:space="preserve">Progress toward the unchanged target of</w:t>
      </w:r>
      <w:r>
        <w:t xml:space="preserve"> </w:t>
      </w:r>
      <m:oMath>
        <m:r>
          <m:t>350</m:t>
        </m:r>
        <m:r>
          <m:t>m</m:t>
        </m:r>
        <m:r>
          <m:t>i</m:t>
        </m:r>
        <m:r>
          <m:t>l</m:t>
        </m:r>
        <m:r>
          <m:t>l</m:t>
        </m:r>
        <m:r>
          <m:t>i</m:t>
        </m:r>
        <m:r>
          <m:t>o</m:t>
        </m:r>
        <m:r>
          <m:t>n</m:t>
        </m:r>
        <m:r>
          <m:rPr>
            <m:sty m:val="p"/>
          </m:rPr>
          <m:t>–</m:t>
        </m:r>
      </m:oMath>
      <w:r>
        <w:rPr>
          <w:b/>
          <w:bCs/>
        </w:rPr>
        <w:t xml:space="preserve">400 million of 2026 servicing-fee sales</w:t>
      </w:r>
      <w:r>
        <w:t xml:space="preserve">.</w:t>
      </w:r>
    </w:p>
    <w:p>
      <w:pPr>
        <w:pStyle w:val="FirstParagraph"/>
      </w:pPr>
      <w:r>
        <w:t xml:space="preserve">State Street generated</w:t>
      </w:r>
      <w:r>
        <w:t xml:space="preserve"> </w:t>
      </w:r>
      <w:r>
        <w:rPr>
          <w:b/>
          <w:bCs/>
        </w:rPr>
        <w:t xml:space="preserve">$49 billion of Q1 net inflows</w:t>
      </w:r>
      <w:r>
        <w:t xml:space="preserve">, including $25 billion in ETFs. Its low-cost SPYM ETF also received additional visibility after being selected as the default fund for the government’s Trump Accounts program. That is strategically positive, although the near-term earnings contribution may be modest given the fund’s two-basis-point expense ratio.</w:t>
      </w:r>
    </w:p>
    <w:bookmarkEnd w:id="10"/>
    <w:bookmarkStart w:id="11" w:name="X63c4d09823ecd5b78e49b21915eeade2a776735"/>
    <w:p>
      <w:pPr>
        <w:pStyle w:val="Heading3"/>
      </w:pPr>
      <w:r>
        <w:t xml:space="preserve">2. FX trading is the largest source of quarterly uncertainty</w:t>
      </w:r>
    </w:p>
    <w:p>
      <w:pPr>
        <w:pStyle w:val="FirstParagraph"/>
      </w:pPr>
      <w:r>
        <w:t xml:space="preserve">Q1 foreign-exchange trading revenue jumped</w:t>
      </w:r>
      <w:r>
        <w:t xml:space="preserve"> </w:t>
      </w:r>
      <w:r>
        <w:rPr>
          <w:b/>
          <w:bCs/>
        </w:rPr>
        <w:t xml:space="preserve">29% year over year to $435 million</w:t>
      </w:r>
      <w:r>
        <w:t xml:space="preserve">, supported by record client volumes and a favorable volatility backdrop. Management explicitly assumed that those conditions would gradually moderate over the remainder of 2026.</w:t>
      </w:r>
    </w:p>
    <w:p>
      <w:pPr>
        <w:pStyle w:val="BodyText"/>
      </w:pPr>
      <w:r>
        <w:t xml:space="preserve">The Q2 question is therefore whether State Street’s expanded client relationships and trading capabilities allowed it to sustain an unusually high revenue level. Another strong FX quarter could create meaningful upside to consensus, but investors may discount an FX-driven beat if management describes the performance as episodic.</w:t>
      </w:r>
    </w:p>
    <w:p>
      <w:pPr>
        <w:pStyle w:val="BodyText"/>
      </w:pPr>
      <w:r>
        <w:t xml:space="preserve">A higher-quality result would combine good trading revenue with growth in recurring servicing, management and software fees.</w:t>
      </w:r>
    </w:p>
    <w:bookmarkEnd w:id="11"/>
    <w:bookmarkStart w:id="12" w:name="X590eb15657ea0184c3556b219171841c0e91cd5"/>
    <w:p>
      <w:pPr>
        <w:pStyle w:val="Heading3"/>
      </w:pPr>
      <w:r>
        <w:t xml:space="preserve">3. NII should decline sequentially but remain strong year over year</w:t>
      </w:r>
    </w:p>
    <w:p>
      <w:pPr>
        <w:pStyle w:val="FirstParagraph"/>
      </w:pPr>
      <w:r>
        <w:t xml:space="preserve">Q1 net interest income reached a record</w:t>
      </w:r>
      <w:r>
        <w:t xml:space="preserve"> </w:t>
      </w:r>
      <w:r>
        <w:rPr>
          <w:b/>
          <w:bCs/>
        </w:rPr>
        <w:t xml:space="preserve">$835 million</w:t>
      </w:r>
      <w:r>
        <w:t xml:space="preserve">, up 17% year over year, as net interest margin expanded to</w:t>
      </w:r>
      <w:r>
        <w:t xml:space="preserve"> </w:t>
      </w:r>
      <w:r>
        <w:rPr>
          <w:b/>
          <w:bCs/>
        </w:rPr>
        <w:t xml:space="preserve">1.16%</w:t>
      </w:r>
      <w:r>
        <w:t xml:space="preserve">. Management subsequently raised its full-year NII-growth outlook from low single digits to</w:t>
      </w:r>
      <w:r>
        <w:t xml:space="preserve"> </w:t>
      </w:r>
      <w:r>
        <w:rPr>
          <w:b/>
          <w:bCs/>
        </w:rPr>
        <w:t xml:space="preserve">8%–10%</w:t>
      </w:r>
      <w:r>
        <w:t xml:space="preserve">.</w:t>
      </w:r>
    </w:p>
    <w:p>
      <w:pPr>
        <w:pStyle w:val="BodyText"/>
      </w:pPr>
      <w:r>
        <w:t xml:space="preserve">That guidance implies full-year NII of roughly</w:t>
      </w:r>
      <w:r>
        <w:t xml:space="preserve"> </w:t>
      </w:r>
      <m:oMath>
        <m:r>
          <m:t>3.20</m:t>
        </m:r>
        <m:r>
          <m:t>b</m:t>
        </m:r>
        <m:r>
          <m:t>i</m:t>
        </m:r>
        <m:r>
          <m:t>l</m:t>
        </m:r>
        <m:r>
          <m:t>l</m:t>
        </m:r>
        <m:r>
          <m:t>i</m:t>
        </m:r>
        <m:r>
          <m:t>o</m:t>
        </m:r>
        <m:r>
          <m:t>n</m:t>
        </m:r>
        <m:r>
          <m:rPr>
            <m:sty m:val="p"/>
          </m:rPr>
          <m:t>–</m:t>
        </m:r>
      </m:oMath>
      <w:r>
        <w:rPr>
          <w:b/>
          <w:bCs/>
        </w:rPr>
        <w:t xml:space="preserve">3.26 billion</w:t>
      </w:r>
      <w:r>
        <w:t xml:space="preserve">. After the strong first quarter, the implied average for Q2 through Q4 is approximately</w:t>
      </w:r>
      <w:r>
        <w:t xml:space="preserve"> </w:t>
      </w:r>
      <m:oMath>
        <m:r>
          <m:t>787</m:t>
        </m:r>
        <m:r>
          <m:t>m</m:t>
        </m:r>
        <m:r>
          <m:t>i</m:t>
        </m:r>
        <m:r>
          <m:t>l</m:t>
        </m:r>
        <m:r>
          <m:t>l</m:t>
        </m:r>
        <m:r>
          <m:t>i</m:t>
        </m:r>
        <m:r>
          <m:t>o</m:t>
        </m:r>
        <m:r>
          <m:t>n</m:t>
        </m:r>
        <m:r>
          <m:rPr>
            <m:sty m:val="p"/>
          </m:rPr>
          <m:t>–</m:t>
        </m:r>
      </m:oMath>
      <w:r>
        <w:rPr>
          <w:b/>
          <w:bCs/>
        </w:rPr>
        <w:t xml:space="preserve">807 million per quarter</w:t>
      </w:r>
      <w:r>
        <w:t xml:space="preserve">. Consequently, a modest sequential decline from Q1 would be consistent with guidance rather than a sign of deterioration.</w:t>
      </w:r>
    </w:p>
    <w:p>
      <w:pPr>
        <w:pStyle w:val="BodyText"/>
      </w:pPr>
      <w:r>
        <w:t xml:space="preserve">Key points to monitor:</w:t>
      </w:r>
    </w:p>
    <w:p>
      <w:pPr>
        <w:pStyle w:val="Compact"/>
        <w:numPr>
          <w:ilvl w:val="0"/>
          <w:numId w:val="1003"/>
        </w:numPr>
      </w:pPr>
      <w:r>
        <w:t xml:space="preserve">Whether NII remains near or above</w:t>
      </w:r>
      <w:r>
        <w:t xml:space="preserve"> </w:t>
      </w:r>
      <w:r>
        <w:rPr>
          <w:b/>
          <w:bCs/>
        </w:rPr>
        <w:t xml:space="preserve">$800 million</w:t>
      </w:r>
      <w:r>
        <w:t xml:space="preserve">.</w:t>
      </w:r>
    </w:p>
    <w:p>
      <w:pPr>
        <w:pStyle w:val="Compact"/>
        <w:numPr>
          <w:ilvl w:val="0"/>
          <w:numId w:val="1003"/>
        </w:numPr>
      </w:pPr>
      <w:r>
        <w:t xml:space="preserve">Average deposit balances versus management’s</w:t>
      </w:r>
      <w:r>
        <w:t xml:space="preserve"> </w:t>
      </w:r>
      <m:oMath>
        <m:r>
          <m:t>250</m:t>
        </m:r>
        <m:r>
          <m:t>b</m:t>
        </m:r>
        <m:r>
          <m:t>i</m:t>
        </m:r>
        <m:r>
          <m:t>l</m:t>
        </m:r>
        <m:r>
          <m:t>l</m:t>
        </m:r>
        <m:r>
          <m:t>i</m:t>
        </m:r>
        <m:r>
          <m:t>o</m:t>
        </m:r>
        <m:r>
          <m:t>n</m:t>
        </m:r>
        <m:r>
          <m:rPr>
            <m:sty m:val="p"/>
          </m:rPr>
          <m:t>–</m:t>
        </m:r>
      </m:oMath>
      <w:r>
        <w:rPr>
          <w:b/>
          <w:bCs/>
        </w:rPr>
        <w:t xml:space="preserve">260 billion</w:t>
      </w:r>
      <w:r>
        <w:t xml:space="preserve"> </w:t>
      </w:r>
      <w:r>
        <w:t xml:space="preserve">expectation.</w:t>
      </w:r>
    </w:p>
    <w:p>
      <w:pPr>
        <w:pStyle w:val="Compact"/>
        <w:numPr>
          <w:ilvl w:val="0"/>
          <w:numId w:val="1003"/>
        </w:numPr>
      </w:pPr>
      <w:r>
        <w:t xml:space="preserve">The proportion of noninterest-bearing deposits.</w:t>
      </w:r>
    </w:p>
    <w:p>
      <w:pPr>
        <w:pStyle w:val="Compact"/>
        <w:numPr>
          <w:ilvl w:val="0"/>
          <w:numId w:val="1003"/>
        </w:numPr>
      </w:pPr>
      <w:r>
        <w:t xml:space="preserve">Continued repayment of higher-cost wholesale funding.</w:t>
      </w:r>
    </w:p>
    <w:p>
      <w:pPr>
        <w:pStyle w:val="Compact"/>
        <w:numPr>
          <w:ilvl w:val="0"/>
          <w:numId w:val="1003"/>
        </w:numPr>
      </w:pPr>
      <w:r>
        <w:t xml:space="preserve">Updated NIM guidance; management previously expected</w:t>
      </w:r>
      <w:r>
        <w:t xml:space="preserve"> </w:t>
      </w:r>
      <w:r>
        <w:rPr>
          <w:b/>
          <w:bCs/>
        </w:rPr>
        <w:t xml:space="preserve">1.10%–1.15% for 2026</w:t>
      </w:r>
      <w:r>
        <w:t xml:space="preserve">, versus 1.16% in Q1.</w:t>
      </w:r>
    </w:p>
    <w:p>
      <w:pPr>
        <w:pStyle w:val="Compact"/>
        <w:numPr>
          <w:ilvl w:val="0"/>
          <w:numId w:val="1003"/>
        </w:numPr>
      </w:pPr>
      <w:r>
        <w:t xml:space="preserve">Sensitivity to changes in U.S. and European monetary policy.</w:t>
      </w:r>
    </w:p>
    <w:p>
      <w:pPr>
        <w:pStyle w:val="FirstParagraph"/>
      </w:pPr>
      <w:r>
        <w:t xml:space="preserve">A renewed NII-guidance increase would be a clear positive, particularly if driven by durable deposit mix and funding optimization rather than temporary risk-off balances.</w:t>
      </w:r>
    </w:p>
    <w:bookmarkEnd w:id="12"/>
    <w:bookmarkStart w:id="13" w:name="X82cbca4fa6a510aa4dea864c8c1f36ff1196212"/>
    <w:p>
      <w:pPr>
        <w:pStyle w:val="Heading3"/>
      </w:pPr>
      <w:r>
        <w:t xml:space="preserve">4. Expense discipline is critical to the earnings story</w:t>
      </w:r>
    </w:p>
    <w:p>
      <w:pPr>
        <w:pStyle w:val="FirstParagraph"/>
      </w:pPr>
      <w:r>
        <w:t xml:space="preserve">State Street’s Q1 adjusted expenses rose</w:t>
      </w:r>
      <w:r>
        <w:t xml:space="preserve"> </w:t>
      </w:r>
      <w:r>
        <w:rPr>
          <w:b/>
          <w:bCs/>
        </w:rPr>
        <w:t xml:space="preserve">9% year over year to $2.68 billion</w:t>
      </w:r>
      <w:r>
        <w:t xml:space="preserve">, including revenue-related compensation, currency effects and strategic investment. Full-year adjusted expense growth is guided to</w:t>
      </w:r>
      <w:r>
        <w:t xml:space="preserve"> </w:t>
      </w:r>
      <w:r>
        <w:rPr>
          <w:b/>
          <w:bCs/>
        </w:rPr>
        <w:t xml:space="preserve">5%–6%</w:t>
      </w:r>
      <w:r>
        <w:t xml:space="preserve">, versus fee-revenue growth of</w:t>
      </w:r>
      <w:r>
        <w:t xml:space="preserve"> </w:t>
      </w:r>
      <w:r>
        <w:rPr>
          <w:b/>
          <w:bCs/>
        </w:rPr>
        <w:t xml:space="preserve">7%–9%</w:t>
      </w:r>
      <w:r>
        <w:t xml:space="preserve"> </w:t>
      </w:r>
      <w:r>
        <w:t xml:space="preserve">and NII growth of</w:t>
      </w:r>
      <w:r>
        <w:t xml:space="preserve"> </w:t>
      </w:r>
      <w:r>
        <w:rPr>
          <w:b/>
          <w:bCs/>
        </w:rPr>
        <w:t xml:space="preserve">8%–10%</w:t>
      </w:r>
      <w:r>
        <w:t xml:space="preserve">.</w:t>
      </w:r>
    </w:p>
    <w:p>
      <w:pPr>
        <w:pStyle w:val="BodyText"/>
      </w:pPr>
      <w:r>
        <w:t xml:space="preserve">Investors will want confirmation that expense growth is moderating after the seasonally expensive first quarter. Specific questions include:</w:t>
      </w:r>
    </w:p>
    <w:p>
      <w:pPr>
        <w:pStyle w:val="Compact"/>
        <w:numPr>
          <w:ilvl w:val="0"/>
          <w:numId w:val="1004"/>
        </w:numPr>
      </w:pPr>
      <w:r>
        <w:t xml:space="preserve">How much cost growth is directly tied to stronger revenues?</w:t>
      </w:r>
    </w:p>
    <w:p>
      <w:pPr>
        <w:pStyle w:val="Compact"/>
        <w:numPr>
          <w:ilvl w:val="0"/>
          <w:numId w:val="1004"/>
        </w:numPr>
      </w:pPr>
      <w:r>
        <w:t xml:space="preserve">Are productivity savings continuing to offset technology and growth investments?</w:t>
      </w:r>
    </w:p>
    <w:p>
      <w:pPr>
        <w:pStyle w:val="Compact"/>
        <w:numPr>
          <w:ilvl w:val="0"/>
          <w:numId w:val="1004"/>
        </w:numPr>
      </w:pPr>
      <w:r>
        <w:t xml:space="preserve">Is headcount still declining in mature areas while being redeployed toward growth?</w:t>
      </w:r>
    </w:p>
    <w:p>
      <w:pPr>
        <w:pStyle w:val="Compact"/>
        <w:numPr>
          <w:ilvl w:val="0"/>
          <w:numId w:val="1004"/>
        </w:numPr>
      </w:pPr>
      <w:r>
        <w:t xml:space="preserve">Can management sustain positive operating leverage if FX activity normalizes?</w:t>
      </w:r>
    </w:p>
    <w:p>
      <w:pPr>
        <w:pStyle w:val="Compact"/>
        <w:numPr>
          <w:ilvl w:val="0"/>
          <w:numId w:val="1004"/>
        </w:numPr>
      </w:pPr>
      <w:r>
        <w:t xml:space="preserve">Will the expense guide rise again if revenue guidance increases?</w:t>
      </w:r>
    </w:p>
    <w:p>
      <w:pPr>
        <w:pStyle w:val="FirstParagraph"/>
      </w:pPr>
      <w:r>
        <w:t xml:space="preserve">The most attractive outcome would be an upward revision to revenue expectations while holding the</w:t>
      </w:r>
      <w:r>
        <w:t xml:space="preserve"> </w:t>
      </w:r>
      <w:r>
        <w:rPr>
          <w:b/>
          <w:bCs/>
        </w:rPr>
        <w:t xml:space="preserve">5%–6% expense-growth range</w:t>
      </w:r>
      <w:r>
        <w:t xml:space="preserve">. Raising both by similar amounts would make any headline guidance increase less valuable.</w:t>
      </w:r>
    </w:p>
    <w:bookmarkEnd w:id="13"/>
    <w:bookmarkEnd w:id="14"/>
    <w:bookmarkStart w:id="16" w:name="Xee5c703a31de1ff8899cea458f8e4177ef0ddac"/>
    <w:p>
      <w:pPr>
        <w:pStyle w:val="Heading2"/>
      </w:pPr>
      <w:r>
        <w:t xml:space="preserve">The strategic update may overshadow the quarter</w:t>
      </w:r>
    </w:p>
    <w:p>
      <w:pPr>
        <w:pStyle w:val="FirstParagraph"/>
      </w:pPr>
      <w:r>
        <w:t xml:space="preserve">Management said it would use the Q2 call to provide a more detailed update on State Street’s growth and transformation initiatives, including new medium-term financial expectations.</w:t>
      </w:r>
    </w:p>
    <w:p>
      <w:pPr>
        <w:pStyle w:val="BodyText"/>
      </w:pPr>
      <w:r>
        <w:t xml:space="preserve">This could be the report’s largest catalyst.</w:t>
      </w:r>
    </w:p>
    <w:p>
      <w:pPr>
        <w:pStyle w:val="BodyText"/>
      </w:pPr>
      <w:r>
        <w:t xml:space="preserve">State Street previously targeted a roughly 30% adjusted pretax margin and has essentially reached that level. On the Q1 call, CFO John Woods indicated that existing 2026 guidance implied a margin near</w:t>
      </w:r>
      <w:r>
        <w:t xml:space="preserve"> </w:t>
      </w:r>
      <w:r>
        <w:rPr>
          <w:b/>
          <w:bCs/>
        </w:rPr>
        <w:t xml:space="preserve">31%</w:t>
      </w:r>
      <w:r>
        <w:t xml:space="preserve">, while suggesting that the July update would address additional medium-term revenue growth and profitability opportunities.</w:t>
      </w:r>
    </w:p>
    <w:p>
      <w:pPr>
        <w:pStyle w:val="BodyText"/>
      </w:pPr>
      <w:r>
        <w:t xml:space="preserve">Investors should look for quantified targets covering:</w:t>
      </w:r>
    </w:p>
    <w:p>
      <w:pPr>
        <w:pStyle w:val="Compact"/>
        <w:numPr>
          <w:ilvl w:val="0"/>
          <w:numId w:val="1005"/>
        </w:numPr>
      </w:pPr>
      <w:r>
        <w:t xml:space="preserve">Medium-term organic revenue growth.</w:t>
      </w:r>
    </w:p>
    <w:p>
      <w:pPr>
        <w:pStyle w:val="Compact"/>
        <w:numPr>
          <w:ilvl w:val="0"/>
          <w:numId w:val="1005"/>
        </w:numPr>
      </w:pPr>
      <w:r>
        <w:t xml:space="preserve">Adjusted pretax margin above the prior 30% objective.</w:t>
      </w:r>
    </w:p>
    <w:p>
      <w:pPr>
        <w:pStyle w:val="Compact"/>
        <w:numPr>
          <w:ilvl w:val="0"/>
          <w:numId w:val="1005"/>
        </w:numPr>
      </w:pPr>
      <w:r>
        <w:t xml:space="preserve">ROTCE.</w:t>
      </w:r>
    </w:p>
    <w:p>
      <w:pPr>
        <w:pStyle w:val="Compact"/>
        <w:numPr>
          <w:ilvl w:val="0"/>
          <w:numId w:val="1005"/>
        </w:numPr>
      </w:pPr>
      <w:r>
        <w:t xml:space="preserve">Productivity and gross cost savings.</w:t>
      </w:r>
    </w:p>
    <w:p>
      <w:pPr>
        <w:pStyle w:val="Compact"/>
        <w:numPr>
          <w:ilvl w:val="0"/>
          <w:numId w:val="1005"/>
        </w:numPr>
      </w:pPr>
      <w:r>
        <w:t xml:space="preserve">AI-related financial benefits.</w:t>
      </w:r>
    </w:p>
    <w:p>
      <w:pPr>
        <w:pStyle w:val="Compact"/>
        <w:numPr>
          <w:ilvl w:val="0"/>
          <w:numId w:val="1005"/>
        </w:numPr>
      </w:pPr>
      <w:r>
        <w:t xml:space="preserve">Capital generation and payout.</w:t>
      </w:r>
    </w:p>
    <w:p>
      <w:pPr>
        <w:pStyle w:val="Compact"/>
        <w:numPr>
          <w:ilvl w:val="0"/>
          <w:numId w:val="1005"/>
        </w:numPr>
      </w:pPr>
      <w:r>
        <w:t xml:space="preserve">Investment requirements needed to achieve the targets.</w:t>
      </w:r>
    </w:p>
    <w:bookmarkStart w:id="15" w:name="X2e2b43a073aca12d419dfcaf2e7096d5d13809f"/>
    <w:p>
      <w:pPr>
        <w:pStyle w:val="Heading3"/>
      </w:pPr>
      <w:r>
        <w:t xml:space="preserve">AI needs to move from narrative to numbers</w:t>
      </w:r>
    </w:p>
    <w:p>
      <w:pPr>
        <w:pStyle w:val="FirstParagraph"/>
      </w:pPr>
      <w:r>
        <w:t xml:space="preserve">State Street reported more than</w:t>
      </w:r>
      <w:r>
        <w:t xml:space="preserve"> </w:t>
      </w:r>
      <w:r>
        <w:rPr>
          <w:b/>
          <w:bCs/>
        </w:rPr>
        <w:t xml:space="preserve">200 AI use cases</w:t>
      </w:r>
      <w:r>
        <w:t xml:space="preserve">, with roughly</w:t>
      </w:r>
      <w:r>
        <w:t xml:space="preserve"> </w:t>
      </w:r>
      <w:r>
        <w:rPr>
          <w:b/>
          <w:bCs/>
        </w:rPr>
        <w:t xml:space="preserve">70 already live</w:t>
      </w:r>
      <w:r>
        <w:t xml:space="preserve">, and said tangible benefits should begin scaling in the second half of 2026. Agent-enabled service delivery was expected to come online in July.</w:t>
      </w:r>
    </w:p>
    <w:p>
      <w:pPr>
        <w:pStyle w:val="BodyText"/>
      </w:pPr>
      <w:r>
        <w:t xml:space="preserve">The market will want concrete answers:</w:t>
      </w:r>
    </w:p>
    <w:p>
      <w:pPr>
        <w:pStyle w:val="Compact"/>
        <w:numPr>
          <w:ilvl w:val="0"/>
          <w:numId w:val="1006"/>
        </w:numPr>
      </w:pPr>
      <w:r>
        <w:t xml:space="preserve">What is the expected annualized benefit exiting 2026?</w:t>
      </w:r>
    </w:p>
    <w:p>
      <w:pPr>
        <w:pStyle w:val="Compact"/>
        <w:numPr>
          <w:ilvl w:val="0"/>
          <w:numId w:val="1006"/>
        </w:numPr>
      </w:pPr>
      <w:r>
        <w:t xml:space="preserve">How much will fall to earnings versus being reinvested?</w:t>
      </w:r>
    </w:p>
    <w:p>
      <w:pPr>
        <w:pStyle w:val="Compact"/>
        <w:numPr>
          <w:ilvl w:val="0"/>
          <w:numId w:val="1006"/>
        </w:numPr>
      </w:pPr>
      <w:r>
        <w:t xml:space="preserve">Are savings concentrated in headcount, software development, operations or error reduction?</w:t>
      </w:r>
    </w:p>
    <w:p>
      <w:pPr>
        <w:pStyle w:val="Compact"/>
        <w:numPr>
          <w:ilvl w:val="0"/>
          <w:numId w:val="1006"/>
        </w:numPr>
      </w:pPr>
      <w:r>
        <w:t xml:space="preserve">When will benefits become material to the expense growth rate?</w:t>
      </w:r>
    </w:p>
    <w:p>
      <w:pPr>
        <w:pStyle w:val="FirstParagraph"/>
      </w:pPr>
      <w:r>
        <w:t xml:space="preserve">Specific, measurable AI targets could support the stock’s higher valuation. A largely qualitative update may disappoint after the recent rally.</w:t>
      </w:r>
    </w:p>
    <w:bookmarkEnd w:id="15"/>
    <w:bookmarkEnd w:id="16"/>
    <w:bookmarkStart w:id="17" w:name="capital-and-balance-sheet-considerations"/>
    <w:p>
      <w:pPr>
        <w:pStyle w:val="Heading2"/>
      </w:pPr>
      <w:r>
        <w:t xml:space="preserve">Capital and balance-sheet considerations</w:t>
      </w:r>
    </w:p>
    <w:p>
      <w:pPr>
        <w:pStyle w:val="FirstParagraph"/>
      </w:pPr>
      <w:r>
        <w:t xml:space="preserve">State Street ended Q1 with a</w:t>
      </w:r>
      <w:r>
        <w:t xml:space="preserve"> </w:t>
      </w:r>
      <w:r>
        <w:rPr>
          <w:b/>
          <w:bCs/>
        </w:rPr>
        <w:t xml:space="preserve">10.6% standardized CET1 ratio</w:t>
      </w:r>
      <w:r>
        <w:t xml:space="preserve">, within its 10%–11% operating range but below the upper end where management generally prefers to operate. It returned</w:t>
      </w:r>
      <w:r>
        <w:t xml:space="preserve"> </w:t>
      </w:r>
      <w:r>
        <w:rPr>
          <w:b/>
          <w:bCs/>
        </w:rPr>
        <w:t xml:space="preserve">$633 million</w:t>
      </w:r>
      <w:r>
        <w:t xml:space="preserve"> </w:t>
      </w:r>
      <w:r>
        <w:t xml:space="preserve">through buybacks and dividends in Q1, representing a 90% payout ratio, while maintaining an approximately</w:t>
      </w:r>
      <w:r>
        <w:t xml:space="preserve"> </w:t>
      </w:r>
      <w:r>
        <w:rPr>
          <w:b/>
          <w:bCs/>
        </w:rPr>
        <w:t xml:space="preserve">80% full-year payout target</w:t>
      </w:r>
      <w:r>
        <w:t xml:space="preserve"> </w:t>
      </w:r>
      <w:r>
        <w:t xml:space="preserve">based on GAAP earnings.</w:t>
      </w:r>
    </w:p>
    <w:p>
      <w:pPr>
        <w:pStyle w:val="BodyText"/>
      </w:pPr>
      <w:r>
        <w:t xml:space="preserve">Watch for:</w:t>
      </w:r>
    </w:p>
    <w:p>
      <w:pPr>
        <w:pStyle w:val="Compact"/>
        <w:numPr>
          <w:ilvl w:val="0"/>
          <w:numId w:val="1007"/>
        </w:numPr>
      </w:pPr>
      <w:r>
        <w:t xml:space="preserve">Q2 CET1 and risk-weighted-asset normalization.</w:t>
      </w:r>
    </w:p>
    <w:p>
      <w:pPr>
        <w:pStyle w:val="Compact"/>
        <w:numPr>
          <w:ilvl w:val="0"/>
          <w:numId w:val="1007"/>
        </w:numPr>
      </w:pPr>
      <w:r>
        <w:t xml:space="preserve">The pace of share repurchases after the stock’s significant appreciation.</w:t>
      </w:r>
    </w:p>
    <w:p>
      <w:pPr>
        <w:pStyle w:val="Compact"/>
        <w:numPr>
          <w:ilvl w:val="0"/>
          <w:numId w:val="1007"/>
        </w:numPr>
      </w:pPr>
      <w:r>
        <w:t xml:space="preserve">Any dividend or payout update.</w:t>
      </w:r>
    </w:p>
    <w:p>
      <w:pPr>
        <w:pStyle w:val="Compact"/>
        <w:numPr>
          <w:ilvl w:val="0"/>
          <w:numId w:val="1007"/>
        </w:numPr>
      </w:pPr>
      <w:r>
        <w:t xml:space="preserve">Management’s assessment of proposed capital-rule changes.</w:t>
      </w:r>
    </w:p>
    <w:p>
      <w:pPr>
        <w:pStyle w:val="FirstParagraph"/>
      </w:pPr>
      <w:r>
        <w:t xml:space="preserve">Capital return remains supportive, although repurchases are naturally less accretive at $187 per share than they were near $100.</w:t>
      </w:r>
    </w:p>
    <w:bookmarkEnd w:id="17"/>
    <w:bookmarkStart w:id="18" w:name="X180da958a1f206c7e80432cdcb179d013666df5"/>
    <w:p>
      <w:pPr>
        <w:pStyle w:val="Heading2"/>
      </w:pPr>
      <w:r>
        <w:t xml:space="preserve">Credit is secondary, but disclosure still matters</w:t>
      </w:r>
    </w:p>
    <w:p>
      <w:pPr>
        <w:pStyle w:val="FirstParagraph"/>
      </w:pPr>
      <w:r>
        <w:t xml:space="preserve">State Street is not a conventional credit-driven bank, and credit costs should remain modest. Nonetheless, investors have been focused on non-depository financial institution and private-credit exposures.</w:t>
      </w:r>
    </w:p>
    <w:p>
      <w:pPr>
        <w:pStyle w:val="BodyText"/>
      </w:pPr>
      <w:r>
        <w:t xml:space="preserve">In Q1, management disclosed approximately</w:t>
      </w:r>
      <w:r>
        <w:t xml:space="preserve"> </w:t>
      </w:r>
      <w:r>
        <w:rPr>
          <w:b/>
          <w:bCs/>
        </w:rPr>
        <w:t xml:space="preserve">$1.6 billion of BDC lending</w:t>
      </w:r>
      <w:r>
        <w:t xml:space="preserve">, equal to roughly 4% of loans, with less than half related to the semi-liquid structures attracting the most scrutiny. The quarter’s charge-off was attributed to an idiosyncratic legacy commercial loan rather than broader deterioration.</w:t>
      </w:r>
    </w:p>
    <w:p>
      <w:pPr>
        <w:pStyle w:val="BodyText"/>
      </w:pPr>
      <w:r>
        <w:t xml:space="preserve">The key is confirmation that provisions and criticized exposures remain contained while private-market servicing continues to grow.</w:t>
      </w:r>
    </w:p>
    <w:bookmarkEnd w:id="18"/>
    <w:bookmarkStart w:id="21" w:name="bull-and-bear-cases"/>
    <w:p>
      <w:pPr>
        <w:pStyle w:val="Heading2"/>
      </w:pPr>
      <w:r>
        <w:t xml:space="preserve">Bull and bear cases</w:t>
      </w:r>
    </w:p>
    <w:bookmarkStart w:id="19" w:name="bull-case"/>
    <w:p>
      <w:pPr>
        <w:pStyle w:val="Heading3"/>
      </w:pPr>
      <w:r>
        <w:t xml:space="preserve">Bull case</w:t>
      </w:r>
    </w:p>
    <w:p>
      <w:pPr>
        <w:pStyle w:val="Compact"/>
        <w:numPr>
          <w:ilvl w:val="0"/>
          <w:numId w:val="1008"/>
        </w:numPr>
      </w:pPr>
      <w:r>
        <w:t xml:space="preserve">Revenue exceeds consensus through broad-based recurring fee growth.</w:t>
      </w:r>
    </w:p>
    <w:p>
      <w:pPr>
        <w:pStyle w:val="Compact"/>
        <w:numPr>
          <w:ilvl w:val="0"/>
          <w:numId w:val="1008"/>
        </w:numPr>
      </w:pPr>
      <w:r>
        <w:t xml:space="preserve">FX remains strong without being the sole source of upside.</w:t>
      </w:r>
    </w:p>
    <w:p>
      <w:pPr>
        <w:pStyle w:val="Compact"/>
        <w:numPr>
          <w:ilvl w:val="0"/>
          <w:numId w:val="1008"/>
        </w:numPr>
      </w:pPr>
      <w:r>
        <w:t xml:space="preserve">NII remains around or above $800 million and guidance rises.</w:t>
      </w:r>
    </w:p>
    <w:p>
      <w:pPr>
        <w:pStyle w:val="Compact"/>
        <w:numPr>
          <w:ilvl w:val="0"/>
          <w:numId w:val="1008"/>
        </w:numPr>
      </w:pPr>
      <w:r>
        <w:t xml:space="preserve">Expenses are controlled and the expense outlook is maintained.</w:t>
      </w:r>
    </w:p>
    <w:p>
      <w:pPr>
        <w:pStyle w:val="Compact"/>
        <w:numPr>
          <w:ilvl w:val="0"/>
          <w:numId w:val="1008"/>
        </w:numPr>
      </w:pPr>
      <w:r>
        <w:t xml:space="preserve">Management raises its medium-term margin objective and quantifies meaningful AI savings.</w:t>
      </w:r>
    </w:p>
    <w:p>
      <w:pPr>
        <w:pStyle w:val="Compact"/>
        <w:numPr>
          <w:ilvl w:val="0"/>
          <w:numId w:val="1008"/>
        </w:numPr>
      </w:pPr>
      <w:r>
        <w:t xml:space="preserve">Capital return remains robust.</w:t>
      </w:r>
    </w:p>
    <w:bookmarkEnd w:id="19"/>
    <w:bookmarkStart w:id="20" w:name="bear-case"/>
    <w:p>
      <w:pPr>
        <w:pStyle w:val="Heading3"/>
      </w:pPr>
      <w:r>
        <w:t xml:space="preserve">Bear case</w:t>
      </w:r>
    </w:p>
    <w:p>
      <w:pPr>
        <w:pStyle w:val="Compact"/>
        <w:numPr>
          <w:ilvl w:val="0"/>
          <w:numId w:val="1009"/>
        </w:numPr>
      </w:pPr>
      <w:r>
        <w:t xml:space="preserve">The beat is driven mainly by market appreciation and FX trading.</w:t>
      </w:r>
    </w:p>
    <w:p>
      <w:pPr>
        <w:pStyle w:val="Compact"/>
        <w:numPr>
          <w:ilvl w:val="0"/>
          <w:numId w:val="1009"/>
        </w:numPr>
      </w:pPr>
      <w:r>
        <w:t xml:space="preserve">Organic servicing growth or asset-management flows weaken.</w:t>
      </w:r>
    </w:p>
    <w:p>
      <w:pPr>
        <w:pStyle w:val="Compact"/>
        <w:numPr>
          <w:ilvl w:val="0"/>
          <w:numId w:val="1009"/>
        </w:numPr>
      </w:pPr>
      <w:r>
        <w:t xml:space="preserve">Deposit normalization pushes NII below the implied guidance run rate.</w:t>
      </w:r>
    </w:p>
    <w:p>
      <w:pPr>
        <w:pStyle w:val="Compact"/>
        <w:numPr>
          <w:ilvl w:val="0"/>
          <w:numId w:val="1009"/>
        </w:numPr>
      </w:pPr>
      <w:r>
        <w:t xml:space="preserve">Expense guidance rises again, limiting operating leverage.</w:t>
      </w:r>
    </w:p>
    <w:p>
      <w:pPr>
        <w:pStyle w:val="Compact"/>
        <w:numPr>
          <w:ilvl w:val="0"/>
          <w:numId w:val="1009"/>
        </w:numPr>
      </w:pPr>
      <w:r>
        <w:t xml:space="preserve">Medium-term targets fail to exceed what is already reflected in the share price.</w:t>
      </w:r>
    </w:p>
    <w:p>
      <w:pPr>
        <w:pStyle w:val="Compact"/>
        <w:numPr>
          <w:ilvl w:val="0"/>
          <w:numId w:val="1009"/>
        </w:numPr>
      </w:pPr>
      <w:r>
        <w:t xml:space="preserve">AI benefits remain qualitative or require substantial incremental investment.</w:t>
      </w:r>
    </w:p>
    <w:bookmarkEnd w:id="20"/>
    <w:bookmarkEnd w:id="21"/>
    <w:bookmarkStart w:id="22" w:name="bottom-line"/>
    <w:p>
      <w:pPr>
        <w:pStyle w:val="Heading2"/>
      </w:pPr>
      <w:r>
        <w:t xml:space="preserve">Bottom line</w:t>
      </w:r>
    </w:p>
    <w:p>
      <w:pPr>
        <w:pStyle w:val="FirstParagraph"/>
      </w:pPr>
      <w:r>
        <w:t xml:space="preserve">State Street enters Q2 with strong momentum: buoyant equity markets, record starting asset levels, improving NII, growing ETF franchises and a substantial servicing backlog. The quarter itself should be solid.</w:t>
      </w:r>
    </w:p>
    <w:p>
      <w:pPr>
        <w:pStyle w:val="BodyText"/>
      </w:pPr>
      <w:r>
        <w:t xml:space="preserve">The harder question is whether the results and strategic update can clear a much higher bar after the stock’s roughly</w:t>
      </w:r>
      <w:r>
        <w:t xml:space="preserve"> </w:t>
      </w:r>
      <w:r>
        <w:rPr>
          <w:b/>
          <w:bCs/>
        </w:rPr>
        <w:t xml:space="preserve">45% year-to-date gain</w:t>
      </w:r>
      <w:r>
        <w:t xml:space="preserve">. The best signal would not simply be an EPS beat. It would be a</w:t>
      </w:r>
      <w:r>
        <w:t xml:space="preserve"> </w:t>
      </w:r>
      <w:r>
        <w:rPr>
          <w:b/>
          <w:bCs/>
        </w:rPr>
        <w:t xml:space="preserve">broad-based revenue beat, disciplined expenses, resilient NII and credible medium-term targets showing that margins can expand beyond 31% without relying on unusually favorable trading conditions</w:t>
      </w:r>
      <w:r>
        <w:t xml:space="preserve">.</w:t>
      </w:r>
    </w:p>
    <w:p>
      <w:pPr>
        <w:pStyle w:val="BodyText"/>
      </w:pPr>
      <w:r>
        <w:rPr>
          <w:i/>
          <w:iCs/>
        </w:rPr>
        <w:t xml:space="preserve">Financial and market data are through July 15, 2026.</w:t>
      </w:r>
    </w:p>
    <w:bookmarkEnd w:id="22"/>
    <w:bookmarkEnd w:id="2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2026-07-16T01:28:51Z</dcterms:created>
  <dcterms:modified xsi:type="dcterms:W3CDTF">2026-07-16T01:28:51Z</dcterms:modified>
</cp:coreProperties>
</file>

<file path=docProps/custom.xml><?xml version="1.0" encoding="utf-8"?>
<Properties xmlns="http://schemas.openxmlformats.org/officeDocument/2006/custom-properties" xmlns:vt="http://schemas.openxmlformats.org/officeDocument/2006/docPropsVTypes"/>
</file>