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t-earnings-predictions--2026-07-16"/>
    <w:p>
      <w:pPr>
        <w:pStyle w:val="Heading1"/>
      </w:pPr>
      <w:r>
        <w:t xml:space="preserve">STT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~$3.37 vs. cons $3.28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~$3.91B vs. cons $3.862B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~$0.84B vs. cons $0.82B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fee-revenue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~8%–10% vs. cons 8.3%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NII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~9%–11% vs. cons 9.1%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expense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~5.0%–5.5% vs. cons 5.7%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Medium-term adjusted pre-tax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~33% vs. cons 32% (FY2028)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+5.8% (FOLLOW-THROUGH)</w:t>
            </w:r>
          </w:p>
        </w:tc>
        <w:tc>
          <w:tcPr/>
          <w:p>
            <w:pPr>
              <w:pStyle w:val="Compact"/>
            </w:pPr>
            <w:r>
              <w:t xml:space="preserve">A recurring-fee/NII-led beat plus higher FY2026 fee and NII guide should lift FY2026–FY2028 EPS estimates; a ~33% medium-term pre-tax-margin target supports out-period revisions rather than leaving the beat dependent on one-quarter FX trading.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2026-07-16T01:26:42Z</dcterms:created>
  <dcterms:modified xsi:type="dcterms:W3CDTF">2026-07-16T01:26:42Z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