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6442798279ca414319db88880233c8eaaca537b"/>
    <w:p>
      <w:pPr>
        <w:pStyle w:val="Heading1"/>
      </w:pPr>
      <w:r>
        <w:t xml:space="preserve">State Street (NYSE: STT) — 2Q26 Earnings Preview</w:t>
      </w:r>
    </w:p>
    <w:p>
      <w:pPr>
        <w:pStyle w:val="BlockText"/>
      </w:pPr>
      <w:r>
        <w:rPr>
          <w:b/>
          <w:bCs/>
        </w:rPr>
        <w:t xml:space="preserve">Timing note:</w:t>
      </w:r>
      <w:r>
        <w:t xml:space="preserve"> </w:t>
      </w:r>
      <w:r>
        <w:t xml:space="preserve">The stated event date is</w:t>
      </w:r>
      <w:r>
        <w:t xml:space="preserve"> </w:t>
      </w:r>
      <w:r>
        <w:rPr>
          <w:b/>
          <w:bCs/>
        </w:rPr>
        <w:t xml:space="preserve">Thursday, July 16, 2026</w:t>
      </w:r>
      <w:r>
        <w:t xml:space="preserve">. As of that date, STT is expected to report</w:t>
      </w:r>
      <w:r>
        <w:t xml:space="preserve"> </w:t>
      </w:r>
      <w:r>
        <w:rPr>
          <w:b/>
          <w:bCs/>
        </w:rPr>
        <w:t xml:space="preserve">before the U.S. market open</w:t>
      </w:r>
      <w:r>
        <w:t xml:space="preserve">, so this is a pre-release preview rather than a “tomorrow” setup.</w:t>
      </w:r>
    </w:p>
    <w:bookmarkStart w:id="9" w:name="X22b256807180f50fd8da131d4fc840df1443e38"/>
    <w:p>
      <w:pPr>
        <w:pStyle w:val="Heading2"/>
      </w:pPr>
      <w:r>
        <w:t xml:space="preserve">Investment view: the bar is elevated, and the debate shifts to durability</w:t>
      </w:r>
    </w:p>
    <w:p>
      <w:pPr>
        <w:pStyle w:val="FirstParagraph"/>
      </w:pPr>
      <w:r>
        <w:t xml:space="preserve">State Street enters 2Q26 with strong fundamental momentum—but also a stock that has already discounted a meaningful portion of the improvement. Consensus calls for</w:t>
      </w:r>
      <w:r>
        <w:t xml:space="preserve"> </w:t>
      </w:r>
      <w:r>
        <w:rPr>
          <w:b/>
          <w:bCs/>
        </w:rPr>
        <w:t xml:space="preserve">EPS of</w:t>
      </w:r>
      <w:r>
        <w:rPr>
          <w:b/>
          <w:bCs/>
        </w:rPr>
        <w:t xml:space="preserve"> </w:t>
      </w:r>
      <m:oMath>
        <m:r>
          <m:t>3.28</m:t>
        </m:r>
        <m:r>
          <m:rPr>
            <m:sty m:val="p"/>
          </m:rPr>
          <m:t>*</m:t>
        </m:r>
        <m:r>
          <m:rPr>
            <m:sty m:val="p"/>
          </m:rPr>
          <m:t>*</m:t>
        </m:r>
        <m:r>
          <m:rPr>
            <m:sty m:val="p"/>
          </m:rPr>
          <m:t>(</m:t>
        </m:r>
        <m:r>
          <m:t>a</m:t>
        </m:r>
        <m:r>
          <m:t>b</m:t>
        </m:r>
        <m:r>
          <m:t>o</m:t>
        </m:r>
        <m:r>
          <m:t>u</m:t>
        </m:r>
        <m:r>
          <m:t>t</m:t>
        </m:r>
        <m:r>
          <m:rPr>
            <m:sty m:val="p"/>
          </m:rPr>
          <m:t>*</m:t>
        </m:r>
        <m:r>
          <m:rPr>
            <m:sty m:val="p"/>
          </m:rPr>
          <m:t>*</m:t>
        </m:r>
        <m:r>
          <m:rPr>
            <m:sty m:val="p"/>
          </m:rPr>
          <m:t>+</m:t>
        </m:r>
        <m:r>
          <m:t>30</m:t>
        </m:r>
      </m:oMath>
      <w:r>
        <w:rPr>
          <w:b/>
          <w:bCs/>
        </w:rPr>
        <w:t xml:space="preserve">3.862 billion of revenue</w:t>
      </w:r>
      <w:r>
        <w:t xml:space="preserve"> </w:t>
      </w:r>
      <w:r>
        <w:t xml:space="preserve">(about</w:t>
      </w:r>
      <w:r>
        <w:t xml:space="preserve"> </w:t>
      </w:r>
      <w:r>
        <w:rPr>
          <w:b/>
          <w:bCs/>
        </w:rPr>
        <w:t xml:space="preserve">+12% YoY</w:t>
      </w:r>
      <w:r>
        <w:t xml:space="preserve">). The central issue is unlikely to be whether STT grows earnings; it is whether management can demonstrate that the drivers behind its upgraded 2026 outlook—fee growth, net-interest-income (NII) expansion, and operating leverage—are</w:t>
      </w:r>
      <w:r>
        <w:t xml:space="preserve"> </w:t>
      </w:r>
      <w:r>
        <w:rPr>
          <w:b/>
          <w:bCs/>
        </w:rPr>
        <w:t xml:space="preserve">structural rather than unusually favorable 1Q conditions</w:t>
      </w:r>
      <w:r>
        <w:t xml:space="preserve">.</w:t>
      </w:r>
    </w:p>
    <w:p>
      <w:pPr>
        <w:pStyle w:val="BodyText"/>
      </w:pPr>
      <w:r>
        <w:t xml:space="preserve">STT closed at</w:t>
      </w:r>
      <w:r>
        <w:t xml:space="preserve"> </w:t>
      </w:r>
      <w:r>
        <w:rPr>
          <w:b/>
          <w:bCs/>
        </w:rPr>
        <w:t xml:space="preserve">$186.62 on July 15</w:t>
      </w:r>
      <w:r>
        <w:t xml:space="preserve">, up roughly</w:t>
      </w:r>
      <w:r>
        <w:t xml:space="preserve"> </w:t>
      </w:r>
      <w:r>
        <w:rPr>
          <w:b/>
          <w:bCs/>
        </w:rPr>
        <w:t xml:space="preserve">28% since its April 17 first-quarter earnings release</w:t>
      </w:r>
      <w:r>
        <w:t xml:space="preserve">, versus about</w:t>
      </w:r>
      <w:r>
        <w:t xml:space="preserve"> </w:t>
      </w:r>
      <w:r>
        <w:rPr>
          <w:b/>
          <w:bCs/>
        </w:rPr>
        <w:t xml:space="preserve">14% for Bank of New York Mellon</w:t>
      </w:r>
      <w:r>
        <w:t xml:space="preserve"> </w:t>
      </w:r>
      <w:r>
        <w:t xml:space="preserve">over the same period. That relative move raises the importance of guidance, margins, and the forthcoming medium-term strategy/AI update, not merely the headline EPS print.</w:t>
      </w:r>
    </w:p>
    <w:bookmarkEnd w:id="9"/>
    <w:bookmarkStart w:id="10"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consensus</w:t>
            </w:r>
          </w:p>
        </w:tc>
        <w:tc>
          <w:tcPr/>
          <w:p>
            <w:pPr>
              <w:pStyle w:val="Compact"/>
              <w:jc w:val="right"/>
            </w:pPr>
            <w:r>
              <w:t xml:space="preserve">YoY change</w:t>
            </w:r>
          </w:p>
        </w:tc>
      </w:tr>
      <w:tr>
        <w:tc>
          <w:tcPr/>
          <w:p>
            <w:pPr>
              <w:pStyle w:val="Compact"/>
            </w:pPr>
            <w:r>
              <w:t xml:space="preserve">Revenue</w:t>
            </w:r>
          </w:p>
        </w:tc>
        <w:tc>
          <w:tcPr/>
          <w:p>
            <w:pPr>
              <w:pStyle w:val="Compact"/>
              <w:jc w:val="right"/>
            </w:pPr>
            <w:r>
              <w:rPr>
                <w:b/>
                <w:bCs/>
              </w:rPr>
              <w:t xml:space="preserve">$3.862B</w:t>
            </w:r>
          </w:p>
        </w:tc>
        <w:tc>
          <w:tcPr/>
          <w:p>
            <w:pPr>
              <w:pStyle w:val="Compact"/>
              <w:jc w:val="right"/>
            </w:pPr>
            <w:r>
              <w:rPr>
                <w:b/>
                <w:bCs/>
              </w:rPr>
              <w:t xml:space="preserve">+12%</w:t>
            </w:r>
          </w:p>
        </w:tc>
      </w:tr>
      <w:tr>
        <w:tc>
          <w:tcPr/>
          <w:p>
            <w:pPr>
              <w:pStyle w:val="Compact"/>
            </w:pPr>
            <w:r>
              <w:t xml:space="preserve">EPS</w:t>
            </w:r>
          </w:p>
        </w:tc>
        <w:tc>
          <w:tcPr/>
          <w:p>
            <w:pPr>
              <w:pStyle w:val="Compact"/>
              <w:jc w:val="right"/>
            </w:pPr>
            <w:r>
              <w:rPr>
                <w:b/>
                <w:bCs/>
              </w:rPr>
              <w:t xml:space="preserve">$3.28</w:t>
            </w:r>
          </w:p>
        </w:tc>
        <w:tc>
          <w:tcPr/>
          <w:p>
            <w:pPr>
              <w:pStyle w:val="Compact"/>
              <w:jc w:val="right"/>
            </w:pPr>
            <w:r>
              <w:rPr>
                <w:b/>
                <w:bCs/>
              </w:rPr>
              <w:t xml:space="preserve">+30%</w:t>
            </w:r>
          </w:p>
        </w:tc>
      </w:tr>
    </w:tbl>
    <w:p>
      <w:pPr>
        <w:pStyle w:val="BodyText"/>
      </w:pPr>
      <w:r>
        <w:t xml:space="preserve">The earnings setup should be viewed against an exceptionally strong 1Q26: adjusted EPS was</w:t>
      </w:r>
      <w:r>
        <w:t xml:space="preserve"> </w:t>
      </w:r>
      <m:oMath>
        <m:r>
          <m:t>2.84</m:t>
        </m:r>
        <m:r>
          <m:rPr>
            <m:sty m:val="p"/>
          </m:rPr>
          <m:t>*</m:t>
        </m:r>
        <m:r>
          <m:rPr>
            <m:sty m:val="p"/>
          </m:rPr>
          <m:t>*</m:t>
        </m:r>
        <m:r>
          <m:rPr>
            <m:sty m:val="p"/>
          </m:rPr>
          <m:t>,</m:t>
        </m:r>
        <m:r>
          <m:t>f</m:t>
        </m:r>
        <m:r>
          <m:t>e</m:t>
        </m:r>
        <m:r>
          <m:t>e</m:t>
        </m:r>
        <m:r>
          <m:t>r</m:t>
        </m:r>
        <m:r>
          <m:t>e</m:t>
        </m:r>
        <m:r>
          <m:t>v</m:t>
        </m:r>
        <m:r>
          <m:t>e</m:t>
        </m:r>
        <m:r>
          <m:t>n</m:t>
        </m:r>
        <m:r>
          <m:t>u</m:t>
        </m:r>
        <m:r>
          <m:t>e</m:t>
        </m:r>
        <m:r>
          <m:t>w</m:t>
        </m:r>
        <m:r>
          <m:t>a</m:t>
        </m:r>
        <m:r>
          <m:t>s</m:t>
        </m:r>
        <m:r>
          <m:t>a</m:t>
        </m:r>
        <m:r>
          <m:t>r</m:t>
        </m:r>
        <m:r>
          <m:t>e</m:t>
        </m:r>
        <m:r>
          <m:t>c</m:t>
        </m:r>
        <m:r>
          <m:t>o</m:t>
        </m:r>
        <m:r>
          <m:t>r</m:t>
        </m:r>
        <m:r>
          <m:t>d</m:t>
        </m:r>
        <m:r>
          <m:rPr>
            <m:sty m:val="p"/>
          </m:rPr>
          <m:t>*</m:t>
        </m:r>
        <m:r>
          <m:rPr>
            <m:sty m:val="p"/>
          </m:rPr>
          <m:t>*</m:t>
        </m:r>
      </m:oMath>
      <w:r>
        <w:rPr>
          <w:b/>
          <w:bCs/>
        </w:rPr>
        <w:t xml:space="preserve">2.96B</w:t>
      </w:r>
      <w:r>
        <w:t xml:space="preserve">, NII reached</w:t>
      </w:r>
      <w:r>
        <w:t xml:space="preserve"> </w:t>
      </w:r>
      <w:r>
        <w:rPr>
          <w:b/>
          <w:bCs/>
        </w:rPr>
        <w:t xml:space="preserve">$835M</w:t>
      </w:r>
      <w:r>
        <w:t xml:space="preserve">, and adjusted pre-tax margin was</w:t>
      </w:r>
      <w:r>
        <w:t xml:space="preserve"> </w:t>
      </w:r>
      <w:r>
        <w:rPr>
          <w:b/>
          <w:bCs/>
        </w:rPr>
        <w:t xml:space="preserve">29.0%</w:t>
      </w:r>
      <w:r>
        <w:t xml:space="preserve"> </w:t>
      </w:r>
      <w:r>
        <w:t xml:space="preserve">despite seasonally elevated compensation expense.</w:t>
      </w:r>
    </w:p>
    <w:bookmarkEnd w:id="10"/>
    <w:bookmarkStart w:id="14" w:name="the-three-things-that-matter-most"/>
    <w:p>
      <w:pPr>
        <w:pStyle w:val="Heading2"/>
      </w:pPr>
      <w:r>
        <w:t xml:space="preserve">The three things that matter most</w:t>
      </w:r>
    </w:p>
    <w:bookmarkStart w:id="11" w:name="Xcff6c4f3676a9602b5ccad0a7e3b76e997c076d"/>
    <w:p>
      <w:pPr>
        <w:pStyle w:val="Heading3"/>
      </w:pPr>
      <w:r>
        <w:t xml:space="preserve">1. Can fee revenue remain broad-based as FX trading normalizes?</w:t>
      </w:r>
    </w:p>
    <w:p>
      <w:pPr>
        <w:pStyle w:val="FirstParagraph"/>
      </w:pPr>
      <w:r>
        <w:t xml:space="preserve">In 1Q, total fee revenue increased</w:t>
      </w:r>
      <w:r>
        <w:t xml:space="preserve"> </w:t>
      </w:r>
      <w:r>
        <w:rPr>
          <w:b/>
          <w:bCs/>
        </w:rPr>
        <w:t xml:space="preserve">15% YoY</w:t>
      </w:r>
      <w:r>
        <w:t xml:space="preserve">, led by servicing fees (+11%), management fees (+23%), and FX trading revenue (+29%). That combination was unusually strong: it reflected higher market levels, organic business activity, strong ETF flows, client volumes, and elevated—but orderly—market volatility.</w:t>
      </w:r>
    </w:p>
    <w:p>
      <w:pPr>
        <w:pStyle w:val="BodyText"/>
      </w:pPr>
      <w:r>
        <w:t xml:space="preserve">For 2Q, investors should focus on whether core, more durable fee lines can carry the growth rate if FX trading moderates:</w:t>
      </w:r>
    </w:p>
    <w:p>
      <w:pPr>
        <w:pStyle w:val="Compact"/>
        <w:numPr>
          <w:ilvl w:val="0"/>
          <w:numId w:val="1001"/>
        </w:numPr>
      </w:pPr>
      <w:r>
        <w:rPr>
          <w:b/>
          <w:bCs/>
        </w:rPr>
        <w:t xml:space="preserve">Servicing fees:</w:t>
      </w:r>
      <w:r>
        <w:t xml:space="preserve"> </w:t>
      </w:r>
      <w:r>
        <w:t xml:space="preserve">AUC/A ended 1Q at a record</w:t>
      </w:r>
      <w:r>
        <w:t xml:space="preserve"> </w:t>
      </w:r>
      <w:r>
        <w:rPr>
          <w:b/>
          <w:bCs/>
        </w:rPr>
        <w:t xml:space="preserve">$54.5T</w:t>
      </w:r>
      <w:r>
        <w:t xml:space="preserve">, up 17% YoY. This remains the largest and most important recurring fee pool. Commentary on new mandates, alternative-asset servicing, Alpha wins, and the sales pipeline will matter as much as reported revenue.</w:t>
      </w:r>
    </w:p>
    <w:p>
      <w:pPr>
        <w:pStyle w:val="Compact"/>
        <w:numPr>
          <w:ilvl w:val="0"/>
          <w:numId w:val="1001"/>
        </w:numPr>
      </w:pPr>
      <w:r>
        <w:rPr>
          <w:b/>
          <w:bCs/>
        </w:rPr>
        <w:t xml:space="preserve">Investment management:</w:t>
      </w:r>
      <w:r>
        <w:t xml:space="preserve"> </w:t>
      </w:r>
      <w:r>
        <w:t xml:space="preserve">AUM was</w:t>
      </w:r>
      <w:r>
        <w:t xml:space="preserve"> </w:t>
      </w:r>
      <m:oMath>
        <m:r>
          <m:t>5.62</m:t>
        </m:r>
        <m:r>
          <m:t>T</m:t>
        </m:r>
        <m:r>
          <m:rPr>
            <m:sty m:val="p"/>
          </m:rPr>
          <m:t>*</m:t>
        </m:r>
        <m:r>
          <m:rPr>
            <m:sty m:val="p"/>
          </m:rPr>
          <m:t>*</m:t>
        </m:r>
        <m:r>
          <m:t>a</m:t>
        </m:r>
        <m:r>
          <m:t>t</m:t>
        </m:r>
        <m:r>
          <m:t>1</m:t>
        </m:r>
        <m:r>
          <m:t>Q</m:t>
        </m:r>
        <m:r>
          <m:rPr>
            <m:sty m:val="p"/>
          </m:rPr>
          <m:t>−</m:t>
        </m:r>
        <m:r>
          <m:t>e</m:t>
        </m:r>
        <m:r>
          <m:t>n</m:t>
        </m:r>
        <m:r>
          <m:t>d</m:t>
        </m:r>
        <m:r>
          <m:rPr>
            <m:sty m:val="p"/>
          </m:rPr>
          <m:t>,</m:t>
        </m:r>
        <m:r>
          <m:t>w</m:t>
        </m:r>
        <m:r>
          <m:t>i</m:t>
        </m:r>
        <m:r>
          <m:t>t</m:t>
        </m:r>
        <m:r>
          <m:t>h</m:t>
        </m:r>
        <m:r>
          <m:rPr>
            <m:sty m:val="p"/>
          </m:rPr>
          <m:t>*</m:t>
        </m:r>
        <m:r>
          <m:rPr>
            <m:sty m:val="p"/>
          </m:rPr>
          <m:t>*</m:t>
        </m:r>
      </m:oMath>
      <w:r>
        <w:rPr>
          <w:b/>
          <w:bCs/>
        </w:rPr>
        <w:t xml:space="preserve">49B</w:t>
      </w:r>
      <w:r>
        <w:t xml:space="preserve"> </w:t>
      </w:r>
      <w:r>
        <w:t xml:space="preserve">of quarterly net inflows, including</w:t>
      </w:r>
      <w:r>
        <w:t xml:space="preserve"> </w:t>
      </w:r>
      <w:r>
        <w:rPr>
          <w:b/>
          <w:bCs/>
        </w:rPr>
        <w:t xml:space="preserve">$25B in ETFs</w:t>
      </w:r>
      <w:r>
        <w:t xml:space="preserve">. Continued traction in low-cost ETFs, fixed income, cash products, and international distribution would support management-fee growth.</w:t>
      </w:r>
    </w:p>
    <w:p>
      <w:pPr>
        <w:pStyle w:val="Compact"/>
        <w:numPr>
          <w:ilvl w:val="0"/>
          <w:numId w:val="1001"/>
        </w:numPr>
      </w:pPr>
      <w:r>
        <w:rPr>
          <w:b/>
          <w:bCs/>
        </w:rPr>
        <w:t xml:space="preserve">FX trading:</w:t>
      </w:r>
      <w:r>
        <w:t xml:space="preserve"> </w:t>
      </w:r>
      <w:r>
        <w:t xml:space="preserve">This is the swing factor. Management explicitly said its full-year fee outlook does</w:t>
      </w:r>
      <w:r>
        <w:t xml:space="preserve"> </w:t>
      </w:r>
      <w:r>
        <w:rPr>
          <w:b/>
          <w:bCs/>
        </w:rPr>
        <w:t xml:space="preserve">not</w:t>
      </w:r>
      <w:r>
        <w:t xml:space="preserve"> </w:t>
      </w:r>
      <w:r>
        <w:t xml:space="preserve">assume 1Q’s highly favorable FX conditions persist. A decline from 1Q’s $435M FX revenue should therefore not be surprising; a sharper-than-expected normalization could be the main source of a revenue miss.</w:t>
      </w:r>
    </w:p>
    <w:p>
      <w:pPr>
        <w:pStyle w:val="FirstParagraph"/>
      </w:pPr>
      <w:r>
        <w:rPr>
          <w:b/>
          <w:bCs/>
        </w:rPr>
        <w:t xml:space="preserve">Key read-through:</w:t>
      </w:r>
      <w:r>
        <w:t xml:space="preserve"> </w:t>
      </w:r>
      <w:r>
        <w:t xml:space="preserve">A solid report would show servicing and management fees doing most of the work, with FX still constructive but no longer required to sustain the full-year algorithm.</w:t>
      </w:r>
    </w:p>
    <w:bookmarkEnd w:id="11"/>
    <w:bookmarkStart w:id="12" w:name="X8a7cc371846e8b8c5200762343f7b5932aba27f"/>
    <w:p>
      <w:pPr>
        <w:pStyle w:val="Heading3"/>
      </w:pPr>
      <w:r>
        <w:t xml:space="preserve">2. Is 1Q’s NII/NIM strength repeatable?</w:t>
      </w:r>
    </w:p>
    <w:p>
      <w:pPr>
        <w:pStyle w:val="FirstParagraph"/>
      </w:pPr>
      <w:r>
        <w:t xml:space="preserve">NII was the major positive surprise in 1Q, rising</w:t>
      </w:r>
      <w:r>
        <w:t xml:space="preserve"> </w:t>
      </w:r>
      <w:r>
        <w:rPr>
          <w:b/>
          <w:bCs/>
        </w:rPr>
        <w:t xml:space="preserve">17% YoY</w:t>
      </w:r>
      <w:r>
        <w:t xml:space="preserve"> </w:t>
      </w:r>
      <w:r>
        <w:t xml:space="preserve">to</w:t>
      </w:r>
      <w:r>
        <w:t xml:space="preserve"> </w:t>
      </w:r>
      <w:r>
        <w:rPr>
          <w:b/>
          <w:bCs/>
        </w:rPr>
        <w:t xml:space="preserve">$835M</w:t>
      </w:r>
      <w:r>
        <w:t xml:space="preserve"> </w:t>
      </w:r>
      <w:r>
        <w:t xml:space="preserve">as NIM expanded to</w:t>
      </w:r>
      <w:r>
        <w:t xml:space="preserve"> </w:t>
      </w:r>
      <w:r>
        <w:rPr>
          <w:b/>
          <w:bCs/>
        </w:rPr>
        <w:t xml:space="preserve">116 bps</w:t>
      </w:r>
      <w:r>
        <w:t xml:space="preserve">. The improvement was driven primarily by funding mix: higher deposits and non-interest-bearing balances allowed State Street to reduce higher-cost wholesale funding, while securities repricing and hedge runoff also helped.</w:t>
      </w:r>
    </w:p>
    <w:p>
      <w:pPr>
        <w:pStyle w:val="BodyText"/>
      </w:pPr>
      <w:r>
        <w:t xml:space="preserve">Management raised full-year NII growth guidance to</w:t>
      </w:r>
      <w:r>
        <w:t xml:space="preserve"> </w:t>
      </w:r>
      <w:r>
        <w:rPr>
          <w:b/>
          <w:bCs/>
        </w:rPr>
        <w:t xml:space="preserve">8%–10%</w:t>
      </w:r>
      <w:r>
        <w:t xml:space="preserve">, and framed 2026 NIM at approximately</w:t>
      </w:r>
      <w:r>
        <w:t xml:space="preserve"> </w:t>
      </w:r>
      <w:r>
        <w:rPr>
          <w:b/>
          <w:bCs/>
        </w:rPr>
        <w:t xml:space="preserve">110–115 bps</w:t>
      </w:r>
      <w:r>
        <w:t xml:space="preserve">, implying some moderation from the 1Q level but still a much better outcome than originally anticipated.</w:t>
      </w:r>
    </w:p>
    <w:p>
      <w:pPr>
        <w:pStyle w:val="BodyText"/>
      </w:pPr>
      <w:r>
        <w:t xml:space="preserve">For 2Q, watch:</w:t>
      </w:r>
    </w:p>
    <w:p>
      <w:pPr>
        <w:pStyle w:val="Compact"/>
        <w:numPr>
          <w:ilvl w:val="0"/>
          <w:numId w:val="1002"/>
        </w:numPr>
      </w:pPr>
      <w:r>
        <w:rPr>
          <w:b/>
          <w:bCs/>
        </w:rPr>
        <w:t xml:space="preserve">Average deposits and mix</w:t>
      </w:r>
      <w:r>
        <w:t xml:space="preserve">, particularly non-interest-bearing deposits;</w:t>
      </w:r>
    </w:p>
    <w:p>
      <w:pPr>
        <w:pStyle w:val="Compact"/>
        <w:numPr>
          <w:ilvl w:val="0"/>
          <w:numId w:val="1002"/>
        </w:numPr>
      </w:pPr>
      <w:r>
        <w:t xml:space="preserve">Whether deposits remain consistent with management’s</w:t>
      </w:r>
      <w:r>
        <w:t xml:space="preserve"> </w:t>
      </w:r>
      <m:oMath>
        <m:r>
          <m:t>250</m:t>
        </m:r>
        <m:r>
          <m:t>B</m:t>
        </m:r>
        <m:r>
          <m:rPr>
            <m:sty m:val="p"/>
          </m:rPr>
          <m:t>–</m:t>
        </m:r>
      </m:oMath>
      <w:r>
        <w:rPr>
          <w:b/>
          <w:bCs/>
        </w:rPr>
        <w:t xml:space="preserve">260B</w:t>
      </w:r>
      <w:r>
        <w:t xml:space="preserve"> </w:t>
      </w:r>
      <w:r>
        <w:t xml:space="preserve">full-year expectation;</w:t>
      </w:r>
    </w:p>
    <w:p>
      <w:pPr>
        <w:pStyle w:val="Compact"/>
        <w:numPr>
          <w:ilvl w:val="0"/>
          <w:numId w:val="1002"/>
        </w:numPr>
      </w:pPr>
      <w:r>
        <w:rPr>
          <w:b/>
          <w:bCs/>
        </w:rPr>
        <w:t xml:space="preserve">NIM trajectory</w:t>
      </w:r>
      <w:r>
        <w:t xml:space="preserve"> </w:t>
      </w:r>
      <w:r>
        <w:t xml:space="preserve">relative to the 110–115 bps framework;</w:t>
      </w:r>
    </w:p>
    <w:p>
      <w:pPr>
        <w:pStyle w:val="Compact"/>
        <w:numPr>
          <w:ilvl w:val="0"/>
          <w:numId w:val="1002"/>
        </w:numPr>
      </w:pPr>
      <w:r>
        <w:t xml:space="preserve">Rate-path assumptions across the U.S., euro, and sterling balance sheets;</w:t>
      </w:r>
    </w:p>
    <w:p>
      <w:pPr>
        <w:pStyle w:val="Compact"/>
        <w:numPr>
          <w:ilvl w:val="0"/>
          <w:numId w:val="1002"/>
        </w:numPr>
      </w:pPr>
      <w:r>
        <w:t xml:space="preserve">The extent to which NII is compensating for more-normalized market-sensitive revenue.</w:t>
      </w:r>
    </w:p>
    <w:p>
      <w:pPr>
        <w:pStyle w:val="FirstParagraph"/>
      </w:pPr>
      <w:r>
        <w:t xml:space="preserve">A stable-to-modestly lower NIM would be consistent with the framework. A material fall, or a weaker deposit mix, would create concern that 1Q was more of a peak than a sustainable run-rate.</w:t>
      </w:r>
    </w:p>
    <w:bookmarkEnd w:id="12"/>
    <w:bookmarkStart w:id="13" w:name="Xb6a529cb58643ee0f789c4332adfa836554edb2"/>
    <w:p>
      <w:pPr>
        <w:pStyle w:val="Heading3"/>
      </w:pPr>
      <w:r>
        <w:t xml:space="preserve">3. Will operating leverage continue after the seasonal 1Q cost burden rolls off?</w:t>
      </w:r>
    </w:p>
    <w:p>
      <w:pPr>
        <w:pStyle w:val="FirstParagraph"/>
      </w:pPr>
      <w:r>
        <w:t xml:space="preserve">The strongest part of the 1Q print was operating leverage. Excluding notable items, revenue grew</w:t>
      </w:r>
      <w:r>
        <w:t xml:space="preserve"> </w:t>
      </w:r>
      <w:r>
        <w:rPr>
          <w:b/>
          <w:bCs/>
        </w:rPr>
        <w:t xml:space="preserve">16% YoY</w:t>
      </w:r>
      <w:r>
        <w:t xml:space="preserve"> </w:t>
      </w:r>
      <w:r>
        <w:t xml:space="preserve">while expenses rose</w:t>
      </w:r>
      <w:r>
        <w:t xml:space="preserve"> </w:t>
      </w:r>
      <w:r>
        <w:rPr>
          <w:b/>
          <w:bCs/>
        </w:rPr>
        <w:t xml:space="preserve">9%</w:t>
      </w:r>
      <w:r>
        <w:t xml:space="preserve">, producing over</w:t>
      </w:r>
      <w:r>
        <w:t xml:space="preserve"> </w:t>
      </w:r>
      <w:r>
        <w:rPr>
          <w:b/>
          <w:bCs/>
        </w:rPr>
        <w:t xml:space="preserve">600 bps</w:t>
      </w:r>
      <w:r>
        <w:t xml:space="preserve"> </w:t>
      </w:r>
      <w:r>
        <w:t xml:space="preserve">of positive operating leverage and a</w:t>
      </w:r>
      <w:r>
        <w:t xml:space="preserve"> </w:t>
      </w:r>
      <w:r>
        <w:rPr>
          <w:b/>
          <w:bCs/>
        </w:rPr>
        <w:t xml:space="preserve">20.1% adjusted ROTCE</w:t>
      </w:r>
      <w:r>
        <w:t xml:space="preserve">.</w:t>
      </w:r>
    </w:p>
    <w:p>
      <w:pPr>
        <w:pStyle w:val="BodyText"/>
      </w:pPr>
      <w:r>
        <w:t xml:space="preserve">The second quarter is seasonally cleaner because 1Q included</w:t>
      </w:r>
      <w:r>
        <w:t xml:space="preserve"> </w:t>
      </w:r>
      <w:r>
        <w:rPr>
          <w:b/>
          <w:bCs/>
        </w:rPr>
        <w:t xml:space="preserve">$169M</w:t>
      </w:r>
      <w:r>
        <w:t xml:space="preserve"> </w:t>
      </w:r>
      <w:r>
        <w:t xml:space="preserve">of seasonal incentive compensation and benefits expenses. That should create an easier sequential expense comparison. However, the market will also look for evidence that savings and productivity are offsetting continued spending on technology, software, digital assets, AI, and growth initiatives.</w:t>
      </w:r>
    </w:p>
    <w:p>
      <w:pPr>
        <w:pStyle w:val="BodyText"/>
      </w:pPr>
      <w:r>
        <w:t xml:space="preserve">Management’s current 2026 framework is:</w:t>
      </w:r>
    </w:p>
    <w:p>
      <w:pPr>
        <w:pStyle w:val="Compact"/>
        <w:numPr>
          <w:ilvl w:val="0"/>
          <w:numId w:val="1003"/>
        </w:numPr>
      </w:pPr>
      <w:r>
        <w:rPr>
          <w:b/>
          <w:bCs/>
        </w:rPr>
        <w:t xml:space="preserve">Fee revenue growth:</w:t>
      </w:r>
      <w:r>
        <w:t xml:space="preserve"> </w:t>
      </w:r>
      <w:r>
        <w:t xml:space="preserve">7%–9%</w:t>
      </w:r>
    </w:p>
    <w:p>
      <w:pPr>
        <w:pStyle w:val="Compact"/>
        <w:numPr>
          <w:ilvl w:val="0"/>
          <w:numId w:val="1003"/>
        </w:numPr>
      </w:pPr>
      <w:r>
        <w:rPr>
          <w:b/>
          <w:bCs/>
        </w:rPr>
        <w:t xml:space="preserve">NII growth:</w:t>
      </w:r>
      <w:r>
        <w:t xml:space="preserve"> </w:t>
      </w:r>
      <w:r>
        <w:t xml:space="preserve">8%–10%</w:t>
      </w:r>
    </w:p>
    <w:p>
      <w:pPr>
        <w:pStyle w:val="Compact"/>
        <w:numPr>
          <w:ilvl w:val="0"/>
          <w:numId w:val="1003"/>
        </w:numPr>
      </w:pPr>
      <w:r>
        <w:rPr>
          <w:b/>
          <w:bCs/>
        </w:rPr>
        <w:t xml:space="preserve">Expense growth:</w:t>
      </w:r>
      <w:r>
        <w:t xml:space="preserve"> </w:t>
      </w:r>
      <w:r>
        <w:t xml:space="preserve">5%–6%</w:t>
      </w:r>
    </w:p>
    <w:p>
      <w:pPr>
        <w:pStyle w:val="Compact"/>
        <w:numPr>
          <w:ilvl w:val="0"/>
          <w:numId w:val="1003"/>
        </w:numPr>
      </w:pPr>
      <w:r>
        <w:rPr>
          <w:b/>
          <w:bCs/>
        </w:rPr>
        <w:t xml:space="preserve">Effective tax rate:</w:t>
      </w:r>
      <w:r>
        <w:t xml:space="preserve"> </w:t>
      </w:r>
      <w:r>
        <w:t xml:space="preserve">approximately 22%</w:t>
      </w:r>
    </w:p>
    <w:p>
      <w:pPr>
        <w:pStyle w:val="Compact"/>
        <w:numPr>
          <w:ilvl w:val="0"/>
          <w:numId w:val="1003"/>
        </w:numPr>
      </w:pPr>
      <w:r>
        <w:rPr>
          <w:b/>
          <w:bCs/>
        </w:rPr>
        <w:t xml:space="preserve">Total payout ratio:</w:t>
      </w:r>
      <w:r>
        <w:t xml:space="preserve"> </w:t>
      </w:r>
      <w:r>
        <w:t xml:space="preserve">roughly 80% of GAAP earnings</w:t>
      </w:r>
    </w:p>
    <w:p>
      <w:pPr>
        <w:pStyle w:val="FirstParagraph"/>
      </w:pPr>
      <w:r>
        <w:t xml:space="preserve">The report will be strongest if STT can maintain positive operating leverage while reiterating these targets—or tighten the ranges upward without relying on a further surge in FX or market levels.</w:t>
      </w:r>
    </w:p>
    <w:bookmarkEnd w:id="13"/>
    <w:bookmarkEnd w:id="14"/>
    <w:bookmarkStart w:id="15" w:name="X7c4009522d8efbd8aa7e6a6a2cca3475e2d7ae0"/>
    <w:p>
      <w:pPr>
        <w:pStyle w:val="Heading2"/>
      </w:pPr>
      <w:r>
        <w:t xml:space="preserve">The strategic update may matter as much as the quarter</w:t>
      </w:r>
    </w:p>
    <w:p>
      <w:pPr>
        <w:pStyle w:val="FirstParagraph"/>
      </w:pPr>
      <w:r>
        <w:t xml:space="preserve">Management previously indicated that the July earnings call would include a more detailed update on strategic growth and transformation. That makes this event more than a routine quarterly print.</w:t>
      </w:r>
    </w:p>
    <w:p>
      <w:pPr>
        <w:pStyle w:val="BodyText"/>
      </w:pPr>
      <w:r>
        <w:t xml:space="preserve">Areas investors will be listening for:</w:t>
      </w:r>
    </w:p>
    <w:p>
      <w:pPr>
        <w:pStyle w:val="Compact"/>
        <w:numPr>
          <w:ilvl w:val="0"/>
          <w:numId w:val="1004"/>
        </w:numPr>
      </w:pPr>
      <w:r>
        <w:rPr>
          <w:b/>
          <w:bCs/>
        </w:rPr>
        <w:t xml:space="preserve">Medium-term revenue-growth and pre-tax-margin targets.</w:t>
      </w:r>
      <w:r>
        <w:t xml:space="preserve"> </w:t>
      </w:r>
      <w:r>
        <w:t xml:space="preserve">Management has said its prior 30% pre-tax-margin ambition was achieved in late 2025 and that its current 2026 framework implies roughly 31%. The question is whether it establishes a clearly higher medium-term target.</w:t>
      </w:r>
    </w:p>
    <w:p>
      <w:pPr>
        <w:pStyle w:val="Compact"/>
        <w:numPr>
          <w:ilvl w:val="0"/>
          <w:numId w:val="1004"/>
        </w:numPr>
      </w:pPr>
      <w:r>
        <w:rPr>
          <w:b/>
          <w:bCs/>
        </w:rPr>
        <w:t xml:space="preserve">AI financial benefits.</w:t>
      </w:r>
      <w:r>
        <w:t xml:space="preserve"> </w:t>
      </w:r>
      <w:r>
        <w:t xml:space="preserve">State Street has cited more than 200 AI use cases, with 70 already live, and expects tangible benefits to begin in the second half of 2026. Investors need specifics: timing, magnitude, and whether AI savings will improve margins, fund investment, or both.</w:t>
      </w:r>
    </w:p>
    <w:p>
      <w:pPr>
        <w:pStyle w:val="Compact"/>
        <w:numPr>
          <w:ilvl w:val="0"/>
          <w:numId w:val="1004"/>
        </w:numPr>
      </w:pPr>
      <w:r>
        <w:rPr>
          <w:b/>
          <w:bCs/>
        </w:rPr>
        <w:t xml:space="preserve">Digital assets/tokenization.</w:t>
      </w:r>
      <w:r>
        <w:t xml:space="preserve"> </w:t>
      </w:r>
      <w:r>
        <w:t xml:space="preserve">The company is positioning itself as infrastructure for tokenized funds, assets, and cash. This is strategically compelling, but investors will want commercial milestones rather than broad vision.</w:t>
      </w:r>
    </w:p>
    <w:p>
      <w:pPr>
        <w:pStyle w:val="Compact"/>
        <w:numPr>
          <w:ilvl w:val="0"/>
          <w:numId w:val="1004"/>
        </w:numPr>
      </w:pPr>
      <w:r>
        <w:rPr>
          <w:b/>
          <w:bCs/>
        </w:rPr>
        <w:t xml:space="preserve">Wealth custody and clearing.</w:t>
      </w:r>
      <w:r>
        <w:t xml:space="preserve"> </w:t>
      </w:r>
      <w:r>
        <w:t xml:space="preserve">The Charles River/Apex partnership could open a new growth vector, though the investment and execution timetable will matter.</w:t>
      </w:r>
    </w:p>
    <w:p>
      <w:pPr>
        <w:pStyle w:val="Compact"/>
        <w:numPr>
          <w:ilvl w:val="0"/>
          <w:numId w:val="1004"/>
        </w:numPr>
      </w:pPr>
      <w:r>
        <w:rPr>
          <w:b/>
          <w:bCs/>
        </w:rPr>
        <w:t xml:space="preserve">Alternatives and private markets.</w:t>
      </w:r>
      <w:r>
        <w:t xml:space="preserve"> </w:t>
      </w:r>
      <w:r>
        <w:t xml:space="preserve">Continued client wins and asset growth here would reinforce the narrative that STT is gaining exposure to structurally faster-growing asset classes.</w:t>
      </w:r>
    </w:p>
    <w:bookmarkEnd w:id="15"/>
    <w:bookmarkStart w:id="16" w:name="X33d794d2b1c72494e06004871bc877503582a2c"/>
    <w:p>
      <w:pPr>
        <w:pStyle w:val="Heading2"/>
      </w:pPr>
      <w:r>
        <w:t xml:space="preserve">Capital return and balance-sheet watch items</w:t>
      </w:r>
    </w:p>
    <w:p>
      <w:pPr>
        <w:pStyle w:val="FirstParagraph"/>
      </w:pPr>
      <w:r>
        <w:t xml:space="preserve">STT ended 1Q with a standardized CET1 ratio of</w:t>
      </w:r>
      <w:r>
        <w:t xml:space="preserve"> </w:t>
      </w:r>
      <w:r>
        <w:rPr>
          <w:b/>
          <w:bCs/>
        </w:rPr>
        <w:t xml:space="preserve">10.6%</w:t>
      </w:r>
      <w:r>
        <w:t xml:space="preserve">, down from</w:t>
      </w:r>
      <w:r>
        <w:t xml:space="preserve"> </w:t>
      </w:r>
      <w:r>
        <w:rPr>
          <w:b/>
          <w:bCs/>
        </w:rPr>
        <w:t xml:space="preserve">11.6%</w:t>
      </w:r>
      <w:r>
        <w:t xml:space="preserve"> </w:t>
      </w:r>
      <w:r>
        <w:t xml:space="preserve">at year-end. Management characterized that as largely quarter-end and market/RWA related, while maintaining that it intends to operate at the upper end of its</w:t>
      </w:r>
      <w:r>
        <w:t xml:space="preserve"> </w:t>
      </w:r>
      <w:r>
        <w:rPr>
          <w:b/>
          <w:bCs/>
        </w:rPr>
        <w:t xml:space="preserve">10%–11%</w:t>
      </w:r>
      <w:r>
        <w:t xml:space="preserve"> </w:t>
      </w:r>
      <w:r>
        <w:t xml:space="preserve">range on an average basis.</w:t>
      </w:r>
    </w:p>
    <w:p>
      <w:pPr>
        <w:pStyle w:val="BodyText"/>
      </w:pPr>
      <w:r>
        <w:t xml:space="preserve">The company repurchased</w:t>
      </w:r>
      <w:r>
        <w:t xml:space="preserve"> </w:t>
      </w:r>
      <m:oMath>
        <m:r>
          <m:t>400</m:t>
        </m:r>
        <m:r>
          <m:t>M</m:t>
        </m:r>
        <m:r>
          <m:rPr>
            <m:sty m:val="p"/>
          </m:rPr>
          <m:t>*</m:t>
        </m:r>
        <m:r>
          <m:rPr>
            <m:sty m:val="p"/>
          </m:rPr>
          <m:t>*</m:t>
        </m:r>
        <m:r>
          <m:t>o</m:t>
        </m:r>
        <m:r>
          <m:t>f</m:t>
        </m:r>
        <m:r>
          <m:t>s</m:t>
        </m:r>
        <m:r>
          <m:t>t</m:t>
        </m:r>
        <m:r>
          <m:t>o</m:t>
        </m:r>
        <m:r>
          <m:t>c</m:t>
        </m:r>
        <m:r>
          <m:t>k</m:t>
        </m:r>
        <m:r>
          <m:t>i</m:t>
        </m:r>
        <m:r>
          <m:t>n</m:t>
        </m:r>
        <m:r>
          <m:t>1</m:t>
        </m:r>
        <m:r>
          <m:t>Q</m:t>
        </m:r>
        <m:r>
          <m:t>a</m:t>
        </m:r>
        <m:r>
          <m:t>n</m:t>
        </m:r>
        <m:r>
          <m:t>d</m:t>
        </m:r>
        <m:r>
          <m:t>r</m:t>
        </m:r>
        <m:r>
          <m:t>e</m:t>
        </m:r>
        <m:r>
          <m:t>t</m:t>
        </m:r>
        <m:r>
          <m:t>u</m:t>
        </m:r>
        <m:r>
          <m:t>r</m:t>
        </m:r>
        <m:r>
          <m:t>n</m:t>
        </m:r>
        <m:r>
          <m:t>e</m:t>
        </m:r>
        <m:r>
          <m:t>d</m:t>
        </m:r>
        <m:r>
          <m:t>a</m:t>
        </m:r>
        <m:r>
          <m:t>t</m:t>
        </m:r>
        <m:r>
          <m:t>o</m:t>
        </m:r>
        <m:r>
          <m:t>t</m:t>
        </m:r>
        <m:r>
          <m:t>a</m:t>
        </m:r>
        <m:r>
          <m:t>l</m:t>
        </m:r>
        <m:r>
          <m:t>o</m:t>
        </m:r>
        <m:r>
          <m:t>f</m:t>
        </m:r>
        <m:r>
          <m:rPr>
            <m:sty m:val="p"/>
          </m:rPr>
          <m:t>*</m:t>
        </m:r>
        <m:r>
          <m:rPr>
            <m:sty m:val="p"/>
          </m:rPr>
          <m:t>*</m:t>
        </m:r>
      </m:oMath>
      <w:r>
        <w:rPr>
          <w:b/>
          <w:bCs/>
        </w:rPr>
        <w:t xml:space="preserve">633M</w:t>
      </w:r>
      <w:r>
        <w:t xml:space="preserve"> </w:t>
      </w:r>
      <w:r>
        <w:t xml:space="preserve">through repurchases and dividends, a</w:t>
      </w:r>
      <w:r>
        <w:t xml:space="preserve"> </w:t>
      </w:r>
      <w:r>
        <w:rPr>
          <w:b/>
          <w:bCs/>
        </w:rPr>
        <w:t xml:space="preserve">90% payout ratio</w:t>
      </w:r>
      <w:r>
        <w:t xml:space="preserve"> </w:t>
      </w:r>
      <w:r>
        <w:t xml:space="preserve">for the quarter. Given the higher share price and the company’s roughly 80% full-year payout objective, capital deployment commentary is relevant:</w:t>
      </w:r>
    </w:p>
    <w:p>
      <w:pPr>
        <w:pStyle w:val="Compact"/>
        <w:numPr>
          <w:ilvl w:val="0"/>
          <w:numId w:val="1005"/>
        </w:numPr>
      </w:pPr>
      <w:r>
        <w:t xml:space="preserve">Is CET1 rebounding toward the upper end of the target range?</w:t>
      </w:r>
    </w:p>
    <w:p>
      <w:pPr>
        <w:pStyle w:val="Compact"/>
        <w:numPr>
          <w:ilvl w:val="0"/>
          <w:numId w:val="1005"/>
        </w:numPr>
      </w:pPr>
      <w:r>
        <w:t xml:space="preserve">Does the company remain comfortable with the buyback pace?</w:t>
      </w:r>
    </w:p>
    <w:p>
      <w:pPr>
        <w:pStyle w:val="Compact"/>
        <w:numPr>
          <w:ilvl w:val="0"/>
          <w:numId w:val="1005"/>
        </w:numPr>
      </w:pPr>
      <w:r>
        <w:t xml:space="preserve">Are there updated views on regulatory-capital proposals and RWA impacts?</w:t>
      </w:r>
    </w:p>
    <w:p>
      <w:pPr>
        <w:pStyle w:val="Compact"/>
        <w:numPr>
          <w:ilvl w:val="0"/>
          <w:numId w:val="1005"/>
        </w:numPr>
      </w:pPr>
      <w:r>
        <w:t xml:space="preserve">Does management see any need to retain more capital for strategic investments or acquisitions?</w:t>
      </w:r>
    </w:p>
    <w:bookmarkEnd w:id="16"/>
    <w:bookmarkStart w:id="19" w:name="X8d0fda9dff1e14d4d6be2311fcb177add66ac43"/>
    <w:p>
      <w:pPr>
        <w:pStyle w:val="Heading2"/>
      </w:pPr>
      <w:r>
        <w:t xml:space="preserve">What would constitute a positive versus negative outcome?</w:t>
      </w:r>
    </w:p>
    <w:bookmarkStart w:id="17" w:name="bull-case"/>
    <w:p>
      <w:pPr>
        <w:pStyle w:val="Heading3"/>
      </w:pPr>
      <w:r>
        <w:t xml:space="preserve">Bull case</w:t>
      </w:r>
    </w:p>
    <w:p>
      <w:pPr>
        <w:pStyle w:val="Compact"/>
        <w:numPr>
          <w:ilvl w:val="0"/>
          <w:numId w:val="1006"/>
        </w:numPr>
      </w:pPr>
      <w:r>
        <w:t xml:space="preserve">Revenue and EPS beat consensus, driven by recurring fee lines and stable NII rather than only FX.</w:t>
      </w:r>
    </w:p>
    <w:p>
      <w:pPr>
        <w:pStyle w:val="Compact"/>
        <w:numPr>
          <w:ilvl w:val="0"/>
          <w:numId w:val="1006"/>
        </w:numPr>
      </w:pPr>
      <w:r>
        <w:t xml:space="preserve">Servicing sales and management flows remain healthy, especially in ETFs, fixed income, alternatives, and international markets.</w:t>
      </w:r>
    </w:p>
    <w:p>
      <w:pPr>
        <w:pStyle w:val="Compact"/>
        <w:numPr>
          <w:ilvl w:val="0"/>
          <w:numId w:val="1006"/>
        </w:numPr>
      </w:pPr>
      <w:r>
        <w:t xml:space="preserve">Expenses are controlled enough to sustain meaningful positive operating leverage.</w:t>
      </w:r>
    </w:p>
    <w:p>
      <w:pPr>
        <w:pStyle w:val="Compact"/>
        <w:numPr>
          <w:ilvl w:val="0"/>
          <w:numId w:val="1006"/>
        </w:numPr>
      </w:pPr>
      <w:r>
        <w:t xml:space="preserve">Full-year guidance is reiterated confidently or raised.</w:t>
      </w:r>
    </w:p>
    <w:p>
      <w:pPr>
        <w:pStyle w:val="Compact"/>
        <w:numPr>
          <w:ilvl w:val="0"/>
          <w:numId w:val="1006"/>
        </w:numPr>
      </w:pPr>
      <w:r>
        <w:t xml:space="preserve">Management offers credible, quantifiable medium-term margin and AI/productivity targets.</w:t>
      </w:r>
    </w:p>
    <w:p>
      <w:pPr>
        <w:pStyle w:val="Compact"/>
        <w:numPr>
          <w:ilvl w:val="0"/>
          <w:numId w:val="1006"/>
        </w:numPr>
      </w:pPr>
      <w:r>
        <w:t xml:space="preserve">CET1 and buyback commentary confirm continued robust shareholder distributions.</w:t>
      </w:r>
    </w:p>
    <w:bookmarkEnd w:id="17"/>
    <w:bookmarkStart w:id="18" w:name="bear-case"/>
    <w:p>
      <w:pPr>
        <w:pStyle w:val="Heading3"/>
      </w:pPr>
      <w:r>
        <w:t xml:space="preserve">Bear case</w:t>
      </w:r>
    </w:p>
    <w:p>
      <w:pPr>
        <w:pStyle w:val="Compact"/>
        <w:numPr>
          <w:ilvl w:val="0"/>
          <w:numId w:val="1007"/>
        </w:numPr>
      </w:pPr>
      <w:r>
        <w:t xml:space="preserve">FX revenue retrenches more sharply than expected and exposes softer underlying fee momentum.</w:t>
      </w:r>
    </w:p>
    <w:p>
      <w:pPr>
        <w:pStyle w:val="Compact"/>
        <w:numPr>
          <w:ilvl w:val="0"/>
          <w:numId w:val="1007"/>
        </w:numPr>
      </w:pPr>
      <w:r>
        <w:t xml:space="preserve">NII falls materially as deposit growth, mix, or NIM weaken.</w:t>
      </w:r>
    </w:p>
    <w:p>
      <w:pPr>
        <w:pStyle w:val="Compact"/>
        <w:numPr>
          <w:ilvl w:val="0"/>
          <w:numId w:val="1007"/>
        </w:numPr>
      </w:pPr>
      <w:r>
        <w:t xml:space="preserve">Investment spending and revenue-related costs cause operating leverage to disappoint.</w:t>
      </w:r>
    </w:p>
    <w:p>
      <w:pPr>
        <w:pStyle w:val="Compact"/>
        <w:numPr>
          <w:ilvl w:val="0"/>
          <w:numId w:val="1007"/>
        </w:numPr>
      </w:pPr>
      <w:r>
        <w:t xml:space="preserve">Management reiterates guidance but frames 1Q as unusually favorable, reducing confidence in the back-half trajectory.</w:t>
      </w:r>
    </w:p>
    <w:p>
      <w:pPr>
        <w:pStyle w:val="Compact"/>
        <w:numPr>
          <w:ilvl w:val="0"/>
          <w:numId w:val="1007"/>
        </w:numPr>
      </w:pPr>
      <w:r>
        <w:t xml:space="preserve">The strategic update remains qualitative, with limited targets, milestones, or financial accountability.</w:t>
      </w:r>
    </w:p>
    <w:p>
      <w:pPr>
        <w:pStyle w:val="Compact"/>
        <w:numPr>
          <w:ilvl w:val="0"/>
          <w:numId w:val="1007"/>
        </w:numPr>
      </w:pPr>
      <w:r>
        <w:t xml:space="preserve">Capital ratios remain pressured, constraining buyback expectations.</w:t>
      </w:r>
    </w:p>
    <w:bookmarkEnd w:id="18"/>
    <w:bookmarkEnd w:id="19"/>
    <w:bookmarkStart w:id="20" w:name="bottom-line"/>
    <w:p>
      <w:pPr>
        <w:pStyle w:val="Heading2"/>
      </w:pPr>
      <w:r>
        <w:t xml:space="preserve">Bottom line</w:t>
      </w:r>
    </w:p>
    <w:p>
      <w:pPr>
        <w:pStyle w:val="FirstParagraph"/>
      </w:pPr>
      <w:r>
        <w:rPr>
          <w:b/>
          <w:bCs/>
        </w:rPr>
        <w:t xml:space="preserve">STT has earned a premium setup heading into 2Q26, but that makes durability the decisive issue.</w:t>
      </w:r>
      <w:r>
        <w:t xml:space="preserve"> </w:t>
      </w:r>
      <w:r>
        <w:t xml:space="preserve">The company has transformed the near-term narrative from a custody-bank beta story into one of broad fee growth, improving margins, NII optimization, and strategic upside from AI, digital infrastructure, and wealth platforms.</w:t>
      </w:r>
    </w:p>
    <w:p>
      <w:pPr>
        <w:pStyle w:val="BodyText"/>
      </w:pPr>
      <w:r>
        <w:t xml:space="preserve">For the stock to work after its strong run, State Street likely needs to do more than beat the quarter: it needs to confirm that</w:t>
      </w:r>
      <w:r>
        <w:t xml:space="preserve"> </w:t>
      </w:r>
      <w:r>
        <w:rPr>
          <w:b/>
          <w:bCs/>
        </w:rPr>
        <w:t xml:space="preserve">core fee growth is resilient without peak FX conditions, NII can remain structurally higher, and its transformation agenda can push pre-tax margins sustainably beyond the 30% threshold.</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2026-07-16T01:26:42Z</dcterms:created>
  <dcterms:modified xsi:type="dcterms:W3CDTF">2026-07-16T01:26:42Z</dcterms:modified>
</cp:coreProperties>
</file>

<file path=docProps/custom.xml><?xml version="1.0" encoding="utf-8"?>
<Properties xmlns="http://schemas.openxmlformats.org/officeDocument/2006/custom-properties" xmlns:vt="http://schemas.openxmlformats.org/officeDocument/2006/docPropsVTypes"/>
</file>