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State Street Corporation (STT)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State Street Corporation</w:t>
            </w:r>
          </w:p>
        </w:tc>
      </w:tr>
      <w:tr>
        <w:tc>
          <w:tcPr>
            <w:tcW w:type="dxa" w:w="4320"/>
          </w:tcPr>
          <w:p>
            <w:r>
              <w:rPr>
                <w:rFonts w:ascii="Calibri" w:hAnsi="Calibri"/>
                <w:b/>
                <w:sz w:val="22"/>
              </w:rPr>
              <w:t>Ticker</w:t>
            </w:r>
          </w:p>
        </w:tc>
        <w:tc>
          <w:tcPr>
            <w:tcW w:type="dxa" w:w="4320"/>
          </w:tcPr>
          <w:p>
            <w:r>
              <w:rPr>
                <w:rFonts w:ascii="Calibri" w:hAnsi="Calibri"/>
                <w:sz w:val="22"/>
              </w:rPr>
              <w:t>STT (NYSE)</w:t>
            </w:r>
          </w:p>
        </w:tc>
      </w:tr>
      <w:tr>
        <w:tc>
          <w:tcPr>
            <w:tcW w:type="dxa" w:w="4320"/>
          </w:tcPr>
          <w:p>
            <w:r>
              <w:rPr>
                <w:rFonts w:ascii="Calibri" w:hAnsi="Calibri"/>
                <w:b/>
                <w:sz w:val="22"/>
              </w:rPr>
              <w:t>Reporting Period</w:t>
            </w:r>
          </w:p>
        </w:tc>
        <w:tc>
          <w:tcPr>
            <w:tcW w:type="dxa" w:w="4320"/>
          </w:tcPr>
          <w:p>
            <w:r>
              <w:rPr>
                <w:rFonts w:ascii="Calibri" w:hAnsi="Calibri"/>
                <w:sz w:val="22"/>
              </w:rPr>
              <w:t>Q2 2026 (fiscal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15, 2026</w:t>
            </w:r>
          </w:p>
        </w:tc>
      </w:tr>
      <w:tr>
        <w:tc>
          <w:tcPr>
            <w:tcW w:type="dxa" w:w="4320"/>
          </w:tcPr>
          <w:p>
            <w:r>
              <w:rPr>
                <w:rFonts w:ascii="Calibri" w:hAnsi="Calibri"/>
                <w:b/>
                <w:sz w:val="22"/>
              </w:rPr>
              <w:t>Prepared Date</w:t>
            </w:r>
          </w:p>
        </w:tc>
        <w:tc>
          <w:tcPr>
            <w:tcW w:type="dxa" w:w="4320"/>
          </w:tcPr>
          <w:p>
            <w:r>
              <w:rPr>
                <w:rFonts w:ascii="Calibri" w:hAnsi="Calibri"/>
                <w:sz w:val="22"/>
              </w:rPr>
              <w:t>July 15, 2026</w:t>
            </w:r>
          </w:p>
        </w:tc>
      </w:tr>
      <w:tr>
        <w:tc>
          <w:tcPr>
            <w:tcW w:type="dxa" w:w="4320"/>
          </w:tcPr>
          <w:p>
            <w:r>
              <w:rPr>
                <w:rFonts w:ascii="Calibri" w:hAnsi="Calibri"/>
                <w:b/>
                <w:sz w:val="22"/>
              </w:rPr>
              <w:t>Last Reported</w:t>
            </w:r>
          </w:p>
        </w:tc>
        <w:tc>
          <w:tcPr>
            <w:tcW w:type="dxa" w:w="4320"/>
          </w:tcPr>
          <w:p>
            <w:r>
              <w:rPr>
                <w:rFonts w:ascii="Calibri" w:hAnsi="Calibri"/>
                <w:sz w:val="22"/>
              </w:rPr>
              <w:t>Q1 2026 (April 17, 2026) — Beat on EPS and revenue; guidance raised materially</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STT’s Q2 2026 print is constructive — management pre-guided revenues up ~low-teens % YoY at the June Morgan Stanley conference, NII is tracking better than expected, and FX client volumes have remained resilient despite moderating volatility; the bar is beatable, with the biggest swing factor being whether NIM expansion and fee momentum can sustain the raised full-year guidance trajectory.</w:t>
      </w:r>
    </w:p>
    <w:p>
      <w:r>
        <w:rPr>
          <w:rFonts w:ascii="Calibri" w:hAnsi="Calibri"/>
          <w:color w:val="525866"/>
          <w:sz w:val="22"/>
        </w:rPr>
        <w:t xml:space="preserve">State Street heads into Q2 2026 earnings with an unusually high degree of management-provided visibility: CFO John Woods explicitly flagged at the June 10 Morgan Stanley U.S. Financials Conference that revenues are tracking up approximately low-teens percent year-over-year, described as “a little better than expected,” with NII also coming in ahead of plan and Q2 deposits running “a little bit north” of the $250–$260 billion full-year range. </w:t>
      </w:r>
      <w:r>
        <w:rPr>
          <w:rFonts w:ascii="Calibri" w:hAnsi="Calibri"/>
          <w:b/>
          <w:color w:val="525866"/>
          <w:sz w:val="22"/>
        </w:rPr>
        <w:t>Consensus is set for Q2 2026 operating EPS of ~$3.34, total fee revenue of ~$3.07 billion, and NII of ~$834 million</w:t>
      </w:r>
      <w:r>
        <w:rPr>
          <w:rFonts w:ascii="Calibri" w:hAnsi="Calibri"/>
          <w:color w:val="525866"/>
          <w:sz w:val="22"/>
        </w:rPr>
        <w:t xml:space="preserve"> — all of which appear achievable given the intra-quarter commentary. The fee revenue story is particularly compelling: servicing fees are benefiting from both organic growth (net new business and installs) and a constructive equity market backdrop (markets up ~6–7% YTD), while management fees saw “very strong flows in Q2, meaningfully higher than Q1,” driven by the ETF franchise across equities, fixed income, and cash. FX trading, the Q1 wildcard, has seen client volumes remain “very resilient” even as volatility moderated, suggesting the markets business will again contribute positively. </w:t>
      </w:r>
    </w:p>
    <w:p>
      <w:r>
        <w:rPr>
          <w:rFonts w:ascii="Calibri" w:hAnsi="Calibri"/>
          <w:color w:val="525866"/>
          <w:sz w:val="22"/>
        </w:rPr>
        <w:t xml:space="preserve">The stock has re-rated sharply since Q1 earnings — up ~28% from the April 17 close of $145.43 to ~$186.59 as of today — meaning the market has already priced in a strong print; the key question is whether management can raise full-year guidance again or provide a credible medium-term framework at the July investor event, which is the real catalyst. </w:t>
      </w:r>
      <w:r>
        <w:rPr>
          <w:rFonts w:ascii="Calibri" w:hAnsi="Calibri"/>
          <w:b/>
          <w:color w:val="525866"/>
          <w:sz w:val="22"/>
        </w:rPr>
        <w:t xml:space="preserve">The wildcard is the magnitude of NIM expansion: </w:t>
      </w:r>
      <w:r>
        <w:rPr>
          <w:rFonts w:ascii="Calibri" w:hAnsi="Calibri"/>
          <w:color w:val="525866"/>
          <w:sz w:val="22"/>
        </w:rPr>
        <w:t>the full-year guide implies 110–115 bps NIM, but Q1 came in at 116 bps and Q2 balance sheet optimization actions have “responded quite nicely” — a sustained NIM above the guided range could drive another guidance raise and further multiple expansion, while any deposit mix deterioration or rate headwind would be the primary downside risk.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beatable but not low bar — management’s own intra-quarter commentary implies revenues tracking above the implied Q2 run-rate from full-year guidance. </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Fee Revenue ($B)</w:t>
            </w:r>
          </w:p>
        </w:tc>
        <w:tc>
          <w:tcPr>
            <w:tcW w:type="dxa" w:w="1234"/>
          </w:tcPr>
          <w:p>
            <w:r>
              <w:rPr>
                <w:rFonts w:ascii="Calibri" w:hAnsi="Calibri"/>
                <w:sz w:val="22"/>
              </w:rPr>
              <w:t>$2.960B</w:t>
            </w:r>
          </w:p>
        </w:tc>
        <w:tc>
          <w:tcPr>
            <w:tcW w:type="dxa" w:w="1234"/>
          </w:tcPr>
          <w:p>
            <w:r>
              <w:rPr>
                <w:rFonts w:ascii="Calibri" w:hAnsi="Calibri"/>
                <w:sz w:val="22"/>
              </w:rPr>
              <w:t>$2.719B</w:t>
            </w:r>
          </w:p>
        </w:tc>
        <w:tc>
          <w:tcPr>
            <w:tcW w:type="dxa" w:w="1234"/>
          </w:tcPr>
          <w:p>
            <w:r>
              <w:rPr>
                <w:rFonts w:ascii="Calibri" w:hAnsi="Calibri"/>
                <w:sz w:val="22"/>
              </w:rPr>
              <w:t>$3.066B</w:t>
            </w:r>
          </w:p>
        </w:tc>
        <w:tc>
          <w:tcPr>
            <w:tcW w:type="dxa" w:w="1234"/>
          </w:tcPr>
          <w:p>
            <w:r>
              <w:rPr>
                <w:rFonts w:ascii="Calibri" w:hAnsi="Calibri"/>
                <w:b/>
                <w:color w:val="30A46C"/>
                <w:sz w:val="22"/>
              </w:rPr>
              <w:t>+12.8% YoY</w:t>
            </w:r>
          </w:p>
        </w:tc>
        <w:tc>
          <w:tcPr>
            <w:tcW w:type="dxa" w:w="1234"/>
          </w:tcPr>
          <w:p>
            <w:r>
              <w:rPr>
                <w:rFonts w:ascii="Calibri" w:hAnsi="Calibri"/>
                <w:sz w:val="22"/>
              </w:rPr>
              <w:t>+7% to +9% FY growth (FY cons: $12.24B)</w:t>
            </w:r>
          </w:p>
        </w:tc>
        <w:tc>
          <w:tcPr>
            <w:tcW w:type="dxa" w:w="1234"/>
          </w:tcPr>
          <w:p>
            <w:r>
              <w:rPr>
                <w:rFonts w:ascii="Calibri" w:hAnsi="Calibri"/>
                <w:sz w:val="22"/>
              </w:rPr>
              <w:t>Q2 run-rate implies ~$12.26B annualized; in-line with FY guide</w:t>
            </w:r>
          </w:p>
        </w:tc>
      </w:tr>
      <w:tr>
        <w:tc>
          <w:tcPr>
            <w:tcW w:type="dxa" w:w="1234"/>
          </w:tcPr>
          <w:p>
            <w:r>
              <w:rPr>
                <w:rFonts w:ascii="Calibri" w:hAnsi="Calibri"/>
                <w:sz w:val="22"/>
              </w:rPr>
              <w:t>Net Interest Revenue ($B)</w:t>
            </w:r>
          </w:p>
        </w:tc>
        <w:tc>
          <w:tcPr>
            <w:tcW w:type="dxa" w:w="1234"/>
          </w:tcPr>
          <w:p>
            <w:r>
              <w:rPr>
                <w:rFonts w:ascii="Calibri" w:hAnsi="Calibri"/>
                <w:sz w:val="22"/>
              </w:rPr>
              <w:t>$0.835B</w:t>
            </w:r>
          </w:p>
        </w:tc>
        <w:tc>
          <w:tcPr>
            <w:tcW w:type="dxa" w:w="1234"/>
          </w:tcPr>
          <w:p>
            <w:r>
              <w:rPr>
                <w:rFonts w:ascii="Calibri" w:hAnsi="Calibri"/>
                <w:sz w:val="22"/>
              </w:rPr>
              <w:t>$0.729B</w:t>
            </w:r>
          </w:p>
        </w:tc>
        <w:tc>
          <w:tcPr>
            <w:tcW w:type="dxa" w:w="1234"/>
          </w:tcPr>
          <w:p>
            <w:r>
              <w:rPr>
                <w:rFonts w:ascii="Calibri" w:hAnsi="Calibri"/>
                <w:sz w:val="22"/>
              </w:rPr>
              <w:t>$0.834B</w:t>
            </w:r>
          </w:p>
        </w:tc>
        <w:tc>
          <w:tcPr>
            <w:tcW w:type="dxa" w:w="1234"/>
          </w:tcPr>
          <w:p>
            <w:r>
              <w:rPr>
                <w:rFonts w:ascii="Calibri" w:hAnsi="Calibri"/>
                <w:b/>
                <w:color w:val="30A46C"/>
                <w:sz w:val="22"/>
              </w:rPr>
              <w:t>+14.4% YoY</w:t>
            </w:r>
          </w:p>
        </w:tc>
        <w:tc>
          <w:tcPr>
            <w:tcW w:type="dxa" w:w="1234"/>
          </w:tcPr>
          <w:p>
            <w:r>
              <w:rPr>
                <w:rFonts w:ascii="Calibri" w:hAnsi="Calibri"/>
                <w:sz w:val="22"/>
              </w:rPr>
              <w:t>+8% to +10% FY growth (FY cons: $3.35B)</w:t>
            </w:r>
          </w:p>
        </w:tc>
        <w:tc>
          <w:tcPr>
            <w:tcW w:type="dxa" w:w="1234"/>
          </w:tcPr>
          <w:p>
            <w:r>
              <w:rPr>
                <w:rFonts w:ascii="Calibri" w:hAnsi="Calibri"/>
                <w:sz w:val="22"/>
              </w:rPr>
              <w:t>Q2 cons. in-line with FY guide; NIM tracking better per mgmt</w:t>
            </w:r>
          </w:p>
        </w:tc>
      </w:tr>
      <w:tr>
        <w:tc>
          <w:tcPr>
            <w:tcW w:type="dxa" w:w="1234"/>
          </w:tcPr>
          <w:p>
            <w:r>
              <w:rPr>
                <w:rFonts w:ascii="Calibri" w:hAnsi="Calibri"/>
                <w:sz w:val="22"/>
              </w:rPr>
              <w:t>Total Revenue ($B)</w:t>
            </w:r>
          </w:p>
        </w:tc>
        <w:tc>
          <w:tcPr>
            <w:tcW w:type="dxa" w:w="1234"/>
          </w:tcPr>
          <w:p>
            <w:r>
              <w:rPr>
                <w:rFonts w:ascii="Calibri" w:hAnsi="Calibri"/>
                <w:sz w:val="22"/>
              </w:rPr>
              <w:t>$3.796B</w:t>
            </w:r>
          </w:p>
        </w:tc>
        <w:tc>
          <w:tcPr>
            <w:tcW w:type="dxa" w:w="1234"/>
          </w:tcPr>
          <w:p>
            <w:r>
              <w:rPr>
                <w:rFonts w:ascii="Calibri" w:hAnsi="Calibri"/>
                <w:sz w:val="22"/>
              </w:rPr>
              <w:t>$3.448B</w:t>
            </w:r>
          </w:p>
        </w:tc>
        <w:tc>
          <w:tcPr>
            <w:tcW w:type="dxa" w:w="1234"/>
          </w:tcPr>
          <w:p>
            <w:r>
              <w:rPr>
                <w:rFonts w:ascii="Calibri" w:hAnsi="Calibri"/>
                <w:sz w:val="22"/>
              </w:rPr>
              <w:t>$3.899B</w:t>
            </w:r>
          </w:p>
        </w:tc>
        <w:tc>
          <w:tcPr>
            <w:tcW w:type="dxa" w:w="1234"/>
          </w:tcPr>
          <w:p>
            <w:r>
              <w:rPr>
                <w:rFonts w:ascii="Calibri" w:hAnsi="Calibri"/>
                <w:b/>
                <w:color w:val="30A46C"/>
                <w:sz w:val="22"/>
              </w:rPr>
              <w:t>+13.1% YoY</w:t>
            </w:r>
          </w:p>
        </w:tc>
        <w:tc>
          <w:tcPr>
            <w:tcW w:type="dxa" w:w="1234"/>
          </w:tcPr>
          <w:p>
            <w:r>
              <w:rPr>
                <w:rFonts w:ascii="Calibri" w:hAnsi="Calibri"/>
                <w:sz w:val="22"/>
              </w:rPr>
              <w:t>FY cons: $15.58B</w:t>
            </w:r>
          </w:p>
        </w:tc>
        <w:tc>
          <w:tcPr>
            <w:tcW w:type="dxa" w:w="1234"/>
          </w:tcPr>
          <w:p>
            <w:r>
              <w:rPr>
                <w:rFonts w:ascii="Calibri" w:hAnsi="Calibri"/>
                <w:sz w:val="22"/>
              </w:rPr>
              <w:t>Mgmt guided “low-teens % YoY” in Q2 — in-line to slightly above cons.</w:t>
            </w:r>
          </w:p>
        </w:tc>
      </w:tr>
      <w:tr>
        <w:tc>
          <w:tcPr>
            <w:tcW w:type="dxa" w:w="1234"/>
          </w:tcPr>
          <w:p>
            <w:r>
              <w:rPr>
                <w:rFonts w:ascii="Calibri" w:hAnsi="Calibri"/>
                <w:sz w:val="22"/>
              </w:rPr>
              <w:t>Diluted EPS — Operating ($)</w:t>
            </w:r>
          </w:p>
        </w:tc>
        <w:tc>
          <w:tcPr>
            <w:tcW w:type="dxa" w:w="1234"/>
          </w:tcPr>
          <w:p>
            <w:r>
              <w:rPr>
                <w:rFonts w:ascii="Calibri" w:hAnsi="Calibri"/>
                <w:sz w:val="22"/>
              </w:rPr>
              <w:t>$2.84</w:t>
            </w:r>
          </w:p>
        </w:tc>
        <w:tc>
          <w:tcPr>
            <w:tcW w:type="dxa" w:w="1234"/>
          </w:tcPr>
          <w:p>
            <w:r>
              <w:rPr>
                <w:rFonts w:ascii="Calibri" w:hAnsi="Calibri"/>
                <w:sz w:val="22"/>
              </w:rPr>
              <w:t>$2.53</w:t>
            </w:r>
          </w:p>
        </w:tc>
        <w:tc>
          <w:tcPr>
            <w:tcW w:type="dxa" w:w="1234"/>
          </w:tcPr>
          <w:p>
            <w:r>
              <w:rPr>
                <w:rFonts w:ascii="Calibri" w:hAnsi="Calibri"/>
                <w:sz w:val="22"/>
              </w:rPr>
              <w:t>$3.34</w:t>
            </w:r>
          </w:p>
        </w:tc>
        <w:tc>
          <w:tcPr>
            <w:tcW w:type="dxa" w:w="1234"/>
          </w:tcPr>
          <w:p>
            <w:r>
              <w:rPr>
                <w:rFonts w:ascii="Calibri" w:hAnsi="Calibri"/>
                <w:b/>
                <w:color w:val="30A46C"/>
                <w:sz w:val="22"/>
              </w:rPr>
              <w:t>+32.0% YoY</w:t>
            </w:r>
          </w:p>
        </w:tc>
        <w:tc>
          <w:tcPr>
            <w:tcW w:type="dxa" w:w="1234"/>
          </w:tcPr>
          <w:p>
            <w:r>
              <w:rPr>
                <w:rFonts w:ascii="Calibri" w:hAnsi="Calibri"/>
                <w:sz w:val="22"/>
              </w:rPr>
              <w:t>FY cons: $13.06</w:t>
            </w:r>
          </w:p>
        </w:tc>
        <w:tc>
          <w:tcPr>
            <w:tcW w:type="dxa" w:w="1234"/>
          </w:tcPr>
          <w:p>
            <w:r>
              <w:rPr>
                <w:rFonts w:ascii="Calibri" w:hAnsi="Calibri"/>
                <w:sz w:val="22"/>
              </w:rPr>
              <w:t>Strong YoY growth; positive operating leverage expected to continue</w:t>
            </w:r>
          </w:p>
        </w:tc>
      </w:tr>
      <w:tr>
        <w:tc>
          <w:tcPr>
            <w:tcW w:type="dxa" w:w="1234"/>
          </w:tcPr>
          <w:p>
            <w:r>
              <w:rPr>
                <w:rFonts w:ascii="Calibri" w:hAnsi="Calibri"/>
                <w:sz w:val="22"/>
              </w:rPr>
              <w:t>Total Expenses — Operating ($B)</w:t>
            </w:r>
          </w:p>
        </w:tc>
        <w:tc>
          <w:tcPr>
            <w:tcW w:type="dxa" w:w="1234"/>
          </w:tcPr>
          <w:p>
            <w:r>
              <w:rPr>
                <w:rFonts w:ascii="Calibri" w:hAnsi="Calibri"/>
                <w:sz w:val="22"/>
              </w:rPr>
              <w:t>$2.681B</w:t>
            </w:r>
          </w:p>
        </w:tc>
        <w:tc>
          <w:tcPr>
            <w:tcW w:type="dxa" w:w="1234"/>
          </w:tcPr>
          <w:p>
            <w:r>
              <w:rPr>
                <w:rFonts w:ascii="Calibri" w:hAnsi="Calibri"/>
                <w:sz w:val="22"/>
              </w:rPr>
              <w:t>$2.412B</w:t>
            </w:r>
          </w:p>
        </w:tc>
        <w:tc>
          <w:tcPr>
            <w:tcW w:type="dxa" w:w="1234"/>
          </w:tcPr>
          <w:p>
            <w:r>
              <w:rPr>
                <w:rFonts w:ascii="Calibri" w:hAnsi="Calibri"/>
                <w:sz w:val="22"/>
              </w:rPr>
              <w:t>$2.613B</w:t>
            </w:r>
          </w:p>
        </w:tc>
        <w:tc>
          <w:tcPr>
            <w:tcW w:type="dxa" w:w="1234"/>
          </w:tcPr>
          <w:p>
            <w:r>
              <w:rPr>
                <w:rFonts w:ascii="Calibri" w:hAnsi="Calibri"/>
                <w:b/>
                <w:color w:val="E5484D"/>
                <w:sz w:val="22"/>
              </w:rPr>
              <w:t>+8.3% YoY</w:t>
            </w:r>
          </w:p>
        </w:tc>
        <w:tc>
          <w:tcPr>
            <w:tcW w:type="dxa" w:w="1234"/>
          </w:tcPr>
          <w:p>
            <w:r>
              <w:rPr>
                <w:rFonts w:ascii="Calibri" w:hAnsi="Calibri"/>
                <w:sz w:val="22"/>
              </w:rPr>
              <w:t>+5% to +6% FY growth (FY cons: $10.56B)</w:t>
            </w:r>
          </w:p>
        </w:tc>
        <w:tc>
          <w:tcPr>
            <w:tcW w:type="dxa" w:w="1234"/>
          </w:tcPr>
          <w:p>
            <w:r>
              <w:rPr>
                <w:rFonts w:ascii="Calibri" w:hAnsi="Calibri"/>
                <w:sz w:val="22"/>
              </w:rPr>
              <w:t>Q2 cons. implies expense growth moderating from Q1; revenue-related cost growth expected</w:t>
            </w:r>
          </w:p>
        </w:tc>
      </w:tr>
      <w:tr>
        <w:tc>
          <w:tcPr>
            <w:tcW w:type="dxa" w:w="1234"/>
          </w:tcPr>
          <w:p>
            <w:r>
              <w:rPr>
                <w:rFonts w:ascii="Calibri" w:hAnsi="Calibri"/>
                <w:sz w:val="22"/>
              </w:rPr>
              <w:t>Efficiency Ratio — Operating (%)</w:t>
            </w:r>
          </w:p>
        </w:tc>
        <w:tc>
          <w:tcPr>
            <w:tcW w:type="dxa" w:w="1234"/>
          </w:tcPr>
          <w:p>
            <w:r>
              <w:rPr>
                <w:rFonts w:ascii="Calibri" w:hAnsi="Calibri"/>
                <w:sz w:val="22"/>
              </w:rPr>
              <w:t>70.6%</w:t>
            </w:r>
          </w:p>
        </w:tc>
        <w:tc>
          <w:tcPr>
            <w:tcW w:type="dxa" w:w="1234"/>
          </w:tcPr>
          <w:p>
            <w:r>
              <w:rPr>
                <w:rFonts w:ascii="Calibri" w:hAnsi="Calibri"/>
                <w:sz w:val="22"/>
              </w:rPr>
              <w:t>69.5%</w:t>
            </w:r>
          </w:p>
        </w:tc>
        <w:tc>
          <w:tcPr>
            <w:tcW w:type="dxa" w:w="1234"/>
          </w:tcPr>
          <w:p>
            <w:r>
              <w:rPr>
                <w:rFonts w:ascii="Calibri" w:hAnsi="Calibri"/>
                <w:sz w:val="22"/>
              </w:rPr>
              <w:t>66.9%</w:t>
            </w:r>
          </w:p>
        </w:tc>
        <w:tc>
          <w:tcPr>
            <w:tcW w:type="dxa" w:w="1234"/>
          </w:tcPr>
          <w:p>
            <w:r>
              <w:rPr>
                <w:rFonts w:ascii="Calibri" w:hAnsi="Calibri"/>
                <w:b/>
                <w:color w:val="30A46C"/>
                <w:sz w:val="22"/>
              </w:rPr>
              <w:t>-260 bps YoY</w:t>
            </w:r>
          </w:p>
        </w:tc>
        <w:tc>
          <w:tcPr>
            <w:tcW w:type="dxa" w:w="1234"/>
          </w:tcPr>
          <w:p>
            <w:r>
              <w:rPr>
                <w:rFonts w:ascii="Calibri" w:hAnsi="Calibri"/>
                <w:sz w:val="22"/>
              </w:rPr>
              <w:t>Positive operating leverage expected; ~31% pre-tax margin implied</w:t>
            </w:r>
          </w:p>
        </w:tc>
        <w:tc>
          <w:tcPr>
            <w:tcW w:type="dxa" w:w="1234"/>
          </w:tcPr>
          <w:p>
            <w:r>
              <w:rPr>
                <w:rFonts w:ascii="Calibri" w:hAnsi="Calibri"/>
                <w:sz w:val="22"/>
              </w:rPr>
              <w:t>Significant improvement expected vs. Q1 2026 and Q2 2025</w:t>
            </w:r>
          </w:p>
        </w:tc>
      </w:tr>
      <w:tr>
        <w:tc>
          <w:tcPr>
            <w:tcW w:type="dxa" w:w="1234"/>
          </w:tcPr>
          <w:p>
            <w:r>
              <w:rPr>
                <w:rFonts w:ascii="Calibri" w:hAnsi="Calibri"/>
                <w:sz w:val="22"/>
              </w:rPr>
              <w:t>Net Interest Margin (%)</w:t>
            </w:r>
          </w:p>
        </w:tc>
        <w:tc>
          <w:tcPr>
            <w:tcW w:type="dxa" w:w="1234"/>
          </w:tcPr>
          <w:p>
            <w:r>
              <w:rPr>
                <w:rFonts w:ascii="Calibri" w:hAnsi="Calibri"/>
                <w:sz w:val="22"/>
              </w:rPr>
              <w:t>1.16%</w:t>
            </w:r>
          </w:p>
        </w:tc>
        <w:tc>
          <w:tcPr>
            <w:tcW w:type="dxa" w:w="1234"/>
          </w:tcPr>
          <w:p>
            <w:r>
              <w:rPr>
                <w:rFonts w:ascii="Calibri" w:hAnsi="Calibri"/>
                <w:sz w:val="22"/>
              </w:rPr>
              <w:t>0.96%</w:t>
            </w:r>
          </w:p>
        </w:tc>
        <w:tc>
          <w:tcPr>
            <w:tcW w:type="dxa" w:w="1234"/>
          </w:tcPr>
          <w:p>
            <w:r>
              <w:rPr>
                <w:rFonts w:ascii="Calibri" w:hAnsi="Calibri"/>
                <w:sz w:val="22"/>
              </w:rPr>
              <w:t>1.13%</w:t>
            </w:r>
          </w:p>
        </w:tc>
        <w:tc>
          <w:tcPr>
            <w:tcW w:type="dxa" w:w="1234"/>
          </w:tcPr>
          <w:p>
            <w:r>
              <w:rPr>
                <w:rFonts w:ascii="Calibri" w:hAnsi="Calibri"/>
                <w:b/>
                <w:color w:val="30A46C"/>
                <w:sz w:val="22"/>
              </w:rPr>
              <w:t>+17 bps YoY</w:t>
            </w:r>
          </w:p>
        </w:tc>
        <w:tc>
          <w:tcPr>
            <w:tcW w:type="dxa" w:w="1234"/>
          </w:tcPr>
          <w:p>
            <w:r>
              <w:rPr>
                <w:rFonts w:ascii="Calibri" w:hAnsi="Calibri"/>
                <w:sz w:val="22"/>
              </w:rPr>
              <w:t>110–115 bps FY 2026 range</w:t>
            </w:r>
          </w:p>
        </w:tc>
        <w:tc>
          <w:tcPr>
            <w:tcW w:type="dxa" w:w="1234"/>
          </w:tcPr>
          <w:p>
            <w:r>
              <w:rPr>
                <w:rFonts w:ascii="Calibri" w:hAnsi="Calibri"/>
                <w:sz w:val="22"/>
              </w:rPr>
              <w:t>Cons. at 113 bps; mgmt noted NIM “responded quite nicely” to optimization</w:t>
            </w:r>
          </w:p>
        </w:tc>
      </w:tr>
      <w:tr>
        <w:tc>
          <w:tcPr>
            <w:tcW w:type="dxa" w:w="1234"/>
          </w:tcPr>
          <w:p>
            <w:r>
              <w:rPr>
                <w:rFonts w:ascii="Calibri" w:hAnsi="Calibri"/>
                <w:sz w:val="22"/>
              </w:rPr>
              <w:t>AUC/A ($T)</w:t>
            </w:r>
          </w:p>
        </w:tc>
        <w:tc>
          <w:tcPr>
            <w:tcW w:type="dxa" w:w="1234"/>
          </w:tcPr>
          <w:p>
            <w:r>
              <w:rPr>
                <w:rFonts w:ascii="Calibri" w:hAnsi="Calibri"/>
                <w:sz w:val="22"/>
              </w:rPr>
              <w:t>$54.52T</w:t>
            </w:r>
          </w:p>
        </w:tc>
        <w:tc>
          <w:tcPr>
            <w:tcW w:type="dxa" w:w="1234"/>
          </w:tcPr>
          <w:p>
            <w:r>
              <w:rPr>
                <w:rFonts w:ascii="Calibri" w:hAnsi="Calibri"/>
                <w:sz w:val="22"/>
              </w:rPr>
              <w:t>$49.00T</w:t>
            </w:r>
          </w:p>
        </w:tc>
        <w:tc>
          <w:tcPr>
            <w:tcW w:type="dxa" w:w="1234"/>
          </w:tcPr>
          <w:p>
            <w:r>
              <w:rPr>
                <w:rFonts w:ascii="Calibri" w:hAnsi="Calibri"/>
                <w:sz w:val="22"/>
              </w:rPr>
              <w:t>$57.77T</w:t>
            </w:r>
          </w:p>
        </w:tc>
        <w:tc>
          <w:tcPr>
            <w:tcW w:type="dxa" w:w="1234"/>
          </w:tcPr>
          <w:p>
            <w:r>
              <w:rPr>
                <w:rFonts w:ascii="Calibri" w:hAnsi="Calibri"/>
                <w:b/>
                <w:color w:val="30A46C"/>
                <w:sz w:val="22"/>
              </w:rPr>
              <w:t>+17.9% YoY</w:t>
            </w:r>
          </w:p>
        </w:tc>
        <w:tc>
          <w:tcPr>
            <w:tcW w:type="dxa" w:w="1234"/>
          </w:tcPr>
          <w:p>
            <w:r>
              <w:rPr>
                <w:rFonts w:ascii="Calibri" w:hAnsi="Calibri"/>
                <w:sz w:val="22"/>
              </w:rPr>
              <w:t>N/A — no specific guidance</w:t>
            </w:r>
          </w:p>
        </w:tc>
        <w:tc>
          <w:tcPr>
            <w:tcW w:type="dxa" w:w="1234"/>
          </w:tcPr>
          <w:p>
            <w:r>
              <w:rPr>
                <w:rFonts w:ascii="Calibri" w:hAnsi="Calibri"/>
                <w:sz w:val="22"/>
              </w:rPr>
              <w:t>Equity market tailwind + net new business installs driving growth</w:t>
            </w:r>
          </w:p>
        </w:tc>
      </w:tr>
      <w:tr>
        <w:tc>
          <w:tcPr>
            <w:tcW w:type="dxa" w:w="1234"/>
          </w:tcPr>
          <w:p>
            <w:r>
              <w:rPr>
                <w:rFonts w:ascii="Calibri" w:hAnsi="Calibri"/>
                <w:sz w:val="22"/>
              </w:rPr>
              <w:t>AUM ($T)</w:t>
            </w:r>
          </w:p>
        </w:tc>
        <w:tc>
          <w:tcPr>
            <w:tcW w:type="dxa" w:w="1234"/>
          </w:tcPr>
          <w:p>
            <w:r>
              <w:rPr>
                <w:rFonts w:ascii="Calibri" w:hAnsi="Calibri"/>
                <w:sz w:val="22"/>
              </w:rPr>
              <w:t>$5.62T</w:t>
            </w:r>
          </w:p>
        </w:tc>
        <w:tc>
          <w:tcPr>
            <w:tcW w:type="dxa" w:w="1234"/>
          </w:tcPr>
          <w:p>
            <w:r>
              <w:rPr>
                <w:rFonts w:ascii="Calibri" w:hAnsi="Calibri"/>
                <w:sz w:val="22"/>
              </w:rPr>
              <w:t>$5.12T</w:t>
            </w:r>
          </w:p>
        </w:tc>
        <w:tc>
          <w:tcPr>
            <w:tcW w:type="dxa" w:w="1234"/>
          </w:tcPr>
          <w:p>
            <w:r>
              <w:rPr>
                <w:rFonts w:ascii="Calibri" w:hAnsi="Calibri"/>
                <w:sz w:val="22"/>
              </w:rPr>
              <w:t>$6.12T</w:t>
            </w:r>
          </w:p>
        </w:tc>
        <w:tc>
          <w:tcPr>
            <w:tcW w:type="dxa" w:w="1234"/>
          </w:tcPr>
          <w:p>
            <w:r>
              <w:rPr>
                <w:rFonts w:ascii="Calibri" w:hAnsi="Calibri"/>
                <w:b/>
                <w:color w:val="30A46C"/>
                <w:sz w:val="22"/>
              </w:rPr>
              <w:t>+19.5% YoY</w:t>
            </w:r>
          </w:p>
        </w:tc>
        <w:tc>
          <w:tcPr>
            <w:tcW w:type="dxa" w:w="1234"/>
          </w:tcPr>
          <w:p>
            <w:r>
              <w:rPr>
                <w:rFonts w:ascii="Calibri" w:hAnsi="Calibri"/>
                <w:sz w:val="22"/>
              </w:rPr>
              <w:t>N/A — no specific guidance</w:t>
            </w:r>
          </w:p>
        </w:tc>
        <w:tc>
          <w:tcPr>
            <w:tcW w:type="dxa" w:w="1234"/>
          </w:tcPr>
          <w:p>
            <w:r>
              <w:rPr>
                <w:rFonts w:ascii="Calibri" w:hAnsi="Calibri"/>
                <w:sz w:val="22"/>
              </w:rPr>
              <w:t>Very strong ETF flows in Q2, meaningfully higher than Q1 per mgmt</w:t>
            </w:r>
          </w:p>
        </w:tc>
      </w:tr>
      <w:tr>
        <w:tc>
          <w:tcPr>
            <w:tcW w:type="dxa" w:w="1234"/>
          </w:tcPr>
          <w:p>
            <w:r>
              <w:rPr>
                <w:rFonts w:ascii="Calibri" w:hAnsi="Calibri"/>
                <w:sz w:val="22"/>
              </w:rPr>
              <w:t>ROTCE — Operating (%)</w:t>
            </w:r>
          </w:p>
        </w:tc>
        <w:tc>
          <w:tcPr>
            <w:tcW w:type="dxa" w:w="1234"/>
          </w:tcPr>
          <w:p>
            <w:r>
              <w:rPr>
                <w:rFonts w:ascii="Calibri" w:hAnsi="Calibri"/>
                <w:sz w:val="22"/>
              </w:rPr>
              <w:t>21.1%</w:t>
            </w:r>
          </w:p>
        </w:tc>
        <w:tc>
          <w:tcPr>
            <w:tcW w:type="dxa" w:w="1234"/>
          </w:tcPr>
          <w:p>
            <w:r>
              <w:rPr>
                <w:rFonts w:ascii="Calibri" w:hAnsi="Calibri"/>
                <w:sz w:val="22"/>
              </w:rPr>
              <w:t>20.1%</w:t>
            </w:r>
          </w:p>
        </w:tc>
        <w:tc>
          <w:tcPr>
            <w:tcW w:type="dxa" w:w="1234"/>
          </w:tcPr>
          <w:p>
            <w:r>
              <w:rPr>
                <w:rFonts w:ascii="Calibri" w:hAnsi="Calibri"/>
                <w:sz w:val="22"/>
              </w:rPr>
              <w:t>24.6%</w:t>
            </w:r>
          </w:p>
        </w:tc>
        <w:tc>
          <w:tcPr>
            <w:tcW w:type="dxa" w:w="1234"/>
          </w:tcPr>
          <w:p>
            <w:r>
              <w:rPr>
                <w:rFonts w:ascii="Calibri" w:hAnsi="Calibri"/>
                <w:b/>
                <w:color w:val="30A46C"/>
                <w:sz w:val="22"/>
              </w:rPr>
              <w:t>+450 bps YoY</w:t>
            </w:r>
          </w:p>
        </w:tc>
        <w:tc>
          <w:tcPr>
            <w:tcW w:type="dxa" w:w="1234"/>
          </w:tcPr>
          <w:p>
            <w:r>
              <w:rPr>
                <w:rFonts w:ascii="Calibri" w:hAnsi="Calibri"/>
                <w:sz w:val="22"/>
              </w:rPr>
              <w:t>Medium-term target update expected at July investor event</w:t>
            </w:r>
          </w:p>
        </w:tc>
        <w:tc>
          <w:tcPr>
            <w:tcW w:type="dxa" w:w="1234"/>
          </w:tcPr>
          <w:p>
            <w:r>
              <w:rPr>
                <w:rFonts w:ascii="Calibri" w:hAnsi="Calibri"/>
                <w:sz w:val="22"/>
              </w:rPr>
              <w:t>Significant step-up expected; mid-20s medium-term target in debate</w:t>
            </w:r>
          </w:p>
        </w:tc>
      </w:tr>
    </w:tbl>
    <w:p>
      <w:r>
        <w:rPr>
          <w:rFonts w:ascii="Calibri" w:hAnsi="Calibri"/>
          <w:i/>
          <w:color w:val="525866"/>
          <w:sz w:val="22"/>
        </w:rPr>
        <w:t>Source: Visible Alpha Consensus and Actuals Data. All consensus figures as of July 15,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Diluted EPS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$2.15</w:t>
            </w:r>
          </w:p>
        </w:tc>
        <w:tc>
          <w:tcPr>
            <w:tcW w:type="dxa" w:w="1728"/>
          </w:tcPr>
          <w:p>
            <w:r>
              <w:rPr>
                <w:rFonts w:ascii="Calibri" w:hAnsi="Calibri"/>
                <w:sz w:val="22"/>
              </w:rPr>
              <w:t>$2.02</w:t>
            </w:r>
          </w:p>
        </w:tc>
        <w:tc>
          <w:tcPr>
            <w:tcW w:type="dxa" w:w="1728"/>
          </w:tcPr>
          <w:p>
            <w:r>
              <w:rPr>
                <w:rFonts w:ascii="Calibri" w:hAnsi="Calibri"/>
                <w:sz w:val="22"/>
              </w:rPr>
              <w:t>+6.4%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$2.26</w:t>
            </w:r>
          </w:p>
        </w:tc>
        <w:tc>
          <w:tcPr>
            <w:tcW w:type="dxa" w:w="1728"/>
          </w:tcPr>
          <w:p>
            <w:r>
              <w:rPr>
                <w:rFonts w:ascii="Calibri" w:hAnsi="Calibri"/>
                <w:sz w:val="22"/>
              </w:rPr>
              <w:t>$2.10</w:t>
            </w:r>
          </w:p>
        </w:tc>
        <w:tc>
          <w:tcPr>
            <w:tcW w:type="dxa" w:w="1728"/>
          </w:tcPr>
          <w:p>
            <w:r>
              <w:rPr>
                <w:rFonts w:ascii="Calibri" w:hAnsi="Calibri"/>
                <w:sz w:val="22"/>
              </w:rPr>
              <w:t>+7.5%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$2.60</w:t>
            </w:r>
          </w:p>
        </w:tc>
        <w:tc>
          <w:tcPr>
            <w:tcW w:type="dxa" w:w="1728"/>
          </w:tcPr>
          <w:p>
            <w:r>
              <w:rPr>
                <w:rFonts w:ascii="Calibri" w:hAnsi="Calibri"/>
                <w:sz w:val="22"/>
              </w:rPr>
              <w:t>$2.44</w:t>
            </w:r>
          </w:p>
        </w:tc>
        <w:tc>
          <w:tcPr>
            <w:tcW w:type="dxa" w:w="1728"/>
          </w:tcPr>
          <w:p>
            <w:r>
              <w:rPr>
                <w:rFonts w:ascii="Calibri" w:hAnsi="Calibri"/>
                <w:sz w:val="22"/>
              </w:rPr>
              <w:t>+6.8%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$2.04</w:t>
            </w:r>
          </w:p>
        </w:tc>
        <w:tc>
          <w:tcPr>
            <w:tcW w:type="dxa" w:w="1728"/>
          </w:tcPr>
          <w:p>
            <w:r>
              <w:rPr>
                <w:rFonts w:ascii="Calibri" w:hAnsi="Calibri"/>
                <w:sz w:val="22"/>
              </w:rPr>
              <w:t>$1.98</w:t>
            </w:r>
          </w:p>
        </w:tc>
        <w:tc>
          <w:tcPr>
            <w:tcW w:type="dxa" w:w="1728"/>
          </w:tcPr>
          <w:p>
            <w:r>
              <w:rPr>
                <w:rFonts w:ascii="Calibri" w:hAnsi="Calibri"/>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$2.53</w:t>
            </w:r>
          </w:p>
        </w:tc>
        <w:tc>
          <w:tcPr>
            <w:tcW w:type="dxa" w:w="1728"/>
          </w:tcPr>
          <w:p>
            <w:r>
              <w:rPr>
                <w:rFonts w:ascii="Calibri" w:hAnsi="Calibri"/>
                <w:sz w:val="22"/>
              </w:rPr>
              <w:t>$2.37</w:t>
            </w:r>
          </w:p>
        </w:tc>
        <w:tc>
          <w:tcPr>
            <w:tcW w:type="dxa" w:w="1728"/>
          </w:tcPr>
          <w:p>
            <w:r>
              <w:rPr>
                <w:rFonts w:ascii="Calibri" w:hAnsi="Calibri"/>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$2.78</w:t>
            </w:r>
          </w:p>
        </w:tc>
        <w:tc>
          <w:tcPr>
            <w:tcW w:type="dxa" w:w="1728"/>
          </w:tcPr>
          <w:p>
            <w:r>
              <w:rPr>
                <w:rFonts w:ascii="Calibri" w:hAnsi="Calibri"/>
                <w:sz w:val="22"/>
              </w:rPr>
              <w:t>$2.65</w:t>
            </w:r>
          </w:p>
        </w:tc>
        <w:tc>
          <w:tcPr>
            <w:tcW w:type="dxa" w:w="1728"/>
          </w:tcPr>
          <w:p>
            <w:r>
              <w:rPr>
                <w:rFonts w:ascii="Calibri" w:hAnsi="Calibri"/>
                <w:sz w:val="22"/>
              </w:rPr>
              <w:t>+4.9%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$2.97</w:t>
            </w:r>
          </w:p>
        </w:tc>
        <w:tc>
          <w:tcPr>
            <w:tcW w:type="dxa" w:w="1728"/>
          </w:tcPr>
          <w:p>
            <w:r>
              <w:rPr>
                <w:rFonts w:ascii="Calibri" w:hAnsi="Calibri"/>
                <w:sz w:val="22"/>
              </w:rPr>
              <w:t>$2.84</w:t>
            </w:r>
          </w:p>
        </w:tc>
        <w:tc>
          <w:tcPr>
            <w:tcW w:type="dxa" w:w="1728"/>
          </w:tcPr>
          <w:p>
            <w:r>
              <w:rPr>
                <w:rFonts w:ascii="Calibri" w:hAnsi="Calibri"/>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$2.84</w:t>
            </w:r>
          </w:p>
        </w:tc>
        <w:tc>
          <w:tcPr>
            <w:tcW w:type="dxa" w:w="1728"/>
          </w:tcPr>
          <w:p>
            <w:r>
              <w:rPr>
                <w:rFonts w:ascii="Calibri" w:hAnsi="Calibri"/>
                <w:sz w:val="22"/>
              </w:rPr>
              <w:t>$2.65</w:t>
            </w:r>
          </w:p>
        </w:tc>
        <w:tc>
          <w:tcPr>
            <w:tcW w:type="dxa" w:w="1728"/>
          </w:tcPr>
          <w:p>
            <w:r>
              <w:rPr>
                <w:rFonts w:ascii="Calibri" w:hAnsi="Calibri"/>
                <w:sz w:val="22"/>
              </w:rPr>
              <w:t>+7.4%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STT has beaten operating EPS consensus in each of the last 8 consecutive quarters, with surprise magnitudes ranging from +2.9% to +7.5% — a remarkably consistent beat cadence that reflects both conservative guidance-setting and strong execution.</w:t>
      </w:r>
    </w:p>
    <w:p>
      <w:pPr>
        <w:pStyle w:val="Heading4"/>
      </w:pPr>
      <w:r>
        <w:rPr>
          <w:rFonts w:ascii="Calibri" w:hAnsi="Calibri"/>
          <w:b/>
          <w:color w:val="3B4259"/>
          <w:sz w:val="22"/>
        </w:rPr>
        <w:t>KPI 2: Total Fee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$2.456B</w:t>
            </w:r>
          </w:p>
        </w:tc>
        <w:tc>
          <w:tcPr>
            <w:tcW w:type="dxa" w:w="1728"/>
          </w:tcPr>
          <w:p>
            <w:r>
              <w:rPr>
                <w:rFonts w:ascii="Calibri" w:hAnsi="Calibri"/>
                <w:sz w:val="22"/>
              </w:rPr>
              <w:t>$2.452B</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$2.536B</w:t>
            </w:r>
          </w:p>
        </w:tc>
        <w:tc>
          <w:tcPr>
            <w:tcW w:type="dxa" w:w="1728"/>
          </w:tcPr>
          <w:p>
            <w:r>
              <w:rPr>
                <w:rFonts w:ascii="Calibri" w:hAnsi="Calibri"/>
                <w:sz w:val="22"/>
              </w:rPr>
              <w:t>$2.492B</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$2.662B</w:t>
            </w:r>
          </w:p>
        </w:tc>
        <w:tc>
          <w:tcPr>
            <w:tcW w:type="dxa" w:w="1728"/>
          </w:tcPr>
          <w:p>
            <w:r>
              <w:rPr>
                <w:rFonts w:ascii="Calibri" w:hAnsi="Calibri"/>
                <w:sz w:val="22"/>
              </w:rPr>
              <w:t>$2.602B</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$2.570B</w:t>
            </w:r>
          </w:p>
        </w:tc>
        <w:tc>
          <w:tcPr>
            <w:tcW w:type="dxa" w:w="1728"/>
          </w:tcPr>
          <w:p>
            <w:r>
              <w:rPr>
                <w:rFonts w:ascii="Calibri" w:hAnsi="Calibri"/>
                <w:sz w:val="22"/>
              </w:rPr>
              <w:t>$2.584B</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$2.719B</w:t>
            </w:r>
          </w:p>
        </w:tc>
        <w:tc>
          <w:tcPr>
            <w:tcW w:type="dxa" w:w="1728"/>
          </w:tcPr>
          <w:p>
            <w:r>
              <w:rPr>
                <w:rFonts w:ascii="Calibri" w:hAnsi="Calibri"/>
                <w:sz w:val="22"/>
              </w:rPr>
              <w:t>$2.635B</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$2.829B</w:t>
            </w:r>
          </w:p>
        </w:tc>
        <w:tc>
          <w:tcPr>
            <w:tcW w:type="dxa" w:w="1728"/>
          </w:tcPr>
          <w:p>
            <w:r>
              <w:rPr>
                <w:rFonts w:ascii="Calibri" w:hAnsi="Calibri"/>
                <w:sz w:val="22"/>
              </w:rPr>
              <w:t>$2.734B</w:t>
            </w:r>
          </w:p>
        </w:tc>
        <w:tc>
          <w:tcPr>
            <w:tcW w:type="dxa" w:w="1728"/>
          </w:tcPr>
          <w:p>
            <w:r>
              <w:rPr>
                <w:rFonts w:ascii="Calibri" w:hAnsi="Calibri"/>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$2.862B</w:t>
            </w:r>
          </w:p>
        </w:tc>
        <w:tc>
          <w:tcPr>
            <w:tcW w:type="dxa" w:w="1728"/>
          </w:tcPr>
          <w:p>
            <w:r>
              <w:rPr>
                <w:rFonts w:ascii="Calibri" w:hAnsi="Calibri"/>
                <w:sz w:val="22"/>
              </w:rPr>
              <w:t>$2.850B</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$2.960B</w:t>
            </w:r>
          </w:p>
        </w:tc>
        <w:tc>
          <w:tcPr>
            <w:tcW w:type="dxa" w:w="1728"/>
          </w:tcPr>
          <w:p>
            <w:r>
              <w:rPr>
                <w:rFonts w:ascii="Calibri" w:hAnsi="Calibri"/>
                <w:sz w:val="22"/>
              </w:rPr>
              <w:t>$2.893B</w:t>
            </w:r>
          </w:p>
        </w:tc>
        <w:tc>
          <w:tcPr>
            <w:tcW w:type="dxa" w:w="1728"/>
          </w:tcPr>
          <w:p>
            <w:r>
              <w:rPr>
                <w:rFonts w:ascii="Calibri" w:hAnsi="Calibri"/>
                <w:sz w:val="22"/>
              </w:rPr>
              <w:t>+2.3%</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Fee revenue has beaten consensus in 7 of the last 8 quarters (one narrow miss in Q1 2025), with beats accelerating in magnitude through 2025 as FX trading and organic servicing growth surprised to the upside. The Q2 2026 consensus of $3.07B implies a +12.8% YoY step-up, which management’s own intra-quarter commentary suggests is achievable.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materially raised full-year 2026 guidance across all key metrics at Q1 2026 earnings (April 17), and intra-quarter commentary at the June Morgan Stanley conference confirmed Q2 is tracking ahead of expectations — tone is the most constructive it has been in several years.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Original FY 2026 Guidance (Jan 2026)</w:t>
            </w:r>
          </w:p>
        </w:tc>
        <w:tc>
          <w:tcPr>
            <w:tcW w:type="dxa" w:w="1728"/>
            <w:shd w:val="clear" w:color="auto" w:fill="3B4259"/>
          </w:tcPr>
          <w:p>
            <w:r>
              <w:rPr>
                <w:rFonts w:ascii="Calibri" w:hAnsi="Calibri"/>
                <w:b/>
                <w:color w:val="FFFFFF"/>
                <w:sz w:val="22"/>
              </w:rPr>
              <w:t>Revised FY 2026 Guidance (Apr 2026 — Q1 Earnings)</w:t>
            </w:r>
          </w:p>
        </w:tc>
        <w:tc>
          <w:tcPr>
            <w:tcW w:type="dxa" w:w="1728"/>
            <w:shd w:val="clear" w:color="auto" w:fill="3B4259"/>
          </w:tcPr>
          <w:p>
            <w:r>
              <w:rPr>
                <w:rFonts w:ascii="Calibri" w:hAnsi="Calibri"/>
                <w:b/>
                <w:color w:val="FFFFFF"/>
                <w:sz w:val="22"/>
              </w:rPr>
              <w:t>Intra-Quarter Update (Jun 10, 2026 — MS Conference)</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Fee Revenue Growth (FY)</w:t>
            </w:r>
          </w:p>
        </w:tc>
        <w:tc>
          <w:tcPr>
            <w:tcW w:type="dxa" w:w="1728"/>
          </w:tcPr>
          <w:p>
            <w:r>
              <w:rPr>
                <w:rFonts w:ascii="Calibri" w:hAnsi="Calibri"/>
                <w:sz w:val="22"/>
              </w:rPr>
              <w:t>+4% to +6%</w:t>
            </w:r>
          </w:p>
        </w:tc>
        <w:tc>
          <w:tcPr>
            <w:tcW w:type="dxa" w:w="1728"/>
          </w:tcPr>
          <w:p>
            <w:r>
              <w:rPr>
                <w:rFonts w:ascii="Calibri" w:hAnsi="Calibri"/>
                <w:sz w:val="22"/>
              </w:rPr>
              <w:t>+7% to +9%</w:t>
            </w:r>
          </w:p>
        </w:tc>
        <w:tc>
          <w:tcPr>
            <w:tcW w:type="dxa" w:w="1728"/>
          </w:tcPr>
          <w:p>
            <w:r>
              <w:rPr>
                <w:rFonts w:ascii="Calibri" w:hAnsi="Calibri"/>
                <w:sz w:val="22"/>
              </w:rPr>
              <w:t>Q2 revenues tracking “low-teens % YoY” — a little better than expected</w:t>
            </w:r>
          </w:p>
        </w:tc>
        <w:tc>
          <w:tcPr>
            <w:tcW w:type="dxa" w:w="1728"/>
          </w:tcPr>
          <w:p>
            <w:r>
              <w:rPr>
                <w:rFonts w:ascii="Calibri" w:hAnsi="Calibri"/>
                <w:b/>
                <w:color w:val="30A46C"/>
                <w:sz w:val="22"/>
              </w:rPr>
              <w:t>↑ Raised</w:t>
            </w:r>
          </w:p>
        </w:tc>
      </w:tr>
      <w:tr>
        <w:tc>
          <w:tcPr>
            <w:tcW w:type="dxa" w:w="1728"/>
          </w:tcPr>
          <w:p>
            <w:r>
              <w:rPr>
                <w:rFonts w:ascii="Calibri" w:hAnsi="Calibri"/>
                <w:sz w:val="22"/>
              </w:rPr>
              <w:t>NII Growth (FY)</w:t>
            </w:r>
          </w:p>
        </w:tc>
        <w:tc>
          <w:tcPr>
            <w:tcW w:type="dxa" w:w="1728"/>
          </w:tcPr>
          <w:p>
            <w:r>
              <w:rPr>
                <w:rFonts w:ascii="Calibri" w:hAnsi="Calibri"/>
                <w:sz w:val="22"/>
              </w:rPr>
              <w:t>Low single digits</w:t>
            </w:r>
          </w:p>
        </w:tc>
        <w:tc>
          <w:tcPr>
            <w:tcW w:type="dxa" w:w="1728"/>
          </w:tcPr>
          <w:p>
            <w:r>
              <w:rPr>
                <w:rFonts w:ascii="Calibri" w:hAnsi="Calibri"/>
                <w:sz w:val="22"/>
              </w:rPr>
              <w:t>+8% to +10%</w:t>
            </w:r>
          </w:p>
        </w:tc>
        <w:tc>
          <w:tcPr>
            <w:tcW w:type="dxa" w:w="1728"/>
          </w:tcPr>
          <w:p>
            <w:r>
              <w:rPr>
                <w:rFonts w:ascii="Calibri" w:hAnsi="Calibri"/>
                <w:sz w:val="22"/>
              </w:rPr>
              <w:t>NII “got a little better than expected” in Q2; NIM responded “quite nicely” to optimization</w:t>
            </w:r>
          </w:p>
        </w:tc>
        <w:tc>
          <w:tcPr>
            <w:tcW w:type="dxa" w:w="1728"/>
          </w:tcPr>
          <w:p>
            <w:r>
              <w:rPr>
                <w:rFonts w:ascii="Calibri" w:hAnsi="Calibri"/>
                <w:b/>
                <w:color w:val="30A46C"/>
                <w:sz w:val="22"/>
              </w:rPr>
              <w:t>↑ Raised</w:t>
            </w:r>
          </w:p>
        </w:tc>
      </w:tr>
      <w:tr>
        <w:tc>
          <w:tcPr>
            <w:tcW w:type="dxa" w:w="1728"/>
          </w:tcPr>
          <w:p>
            <w:r>
              <w:rPr>
                <w:rFonts w:ascii="Calibri" w:hAnsi="Calibri"/>
                <w:sz w:val="22"/>
              </w:rPr>
              <w:t>Expense Growth (FY)</w:t>
            </w:r>
          </w:p>
        </w:tc>
        <w:tc>
          <w:tcPr>
            <w:tcW w:type="dxa" w:w="1728"/>
          </w:tcPr>
          <w:p>
            <w:r>
              <w:rPr>
                <w:rFonts w:ascii="Calibri" w:hAnsi="Calibri"/>
                <w:sz w:val="22"/>
              </w:rPr>
              <w:t>+3% to +4%</w:t>
            </w:r>
          </w:p>
        </w:tc>
        <w:tc>
          <w:tcPr>
            <w:tcW w:type="dxa" w:w="1728"/>
          </w:tcPr>
          <w:p>
            <w:r>
              <w:rPr>
                <w:rFonts w:ascii="Calibri" w:hAnsi="Calibri"/>
                <w:sz w:val="22"/>
              </w:rPr>
              <w:t>+5% to +6%</w:t>
            </w:r>
          </w:p>
        </w:tc>
        <w:tc>
          <w:tcPr>
            <w:tcW w:type="dxa" w:w="1728"/>
          </w:tcPr>
          <w:p>
            <w:r>
              <w:rPr>
                <w:rFonts w:ascii="Calibri" w:hAnsi="Calibri"/>
                <w:sz w:val="22"/>
              </w:rPr>
              <w:t>Strong revenue trends “likely translating into operating leverage” in Q2</w:t>
            </w:r>
          </w:p>
        </w:tc>
        <w:tc>
          <w:tcPr>
            <w:tcW w:type="dxa" w:w="1728"/>
          </w:tcPr>
          <w:p>
            <w:r>
              <w:rPr>
                <w:rFonts w:ascii="Calibri" w:hAnsi="Calibri"/>
                <w:b/>
                <w:color w:val="E5484D"/>
                <w:sz w:val="22"/>
              </w:rPr>
              <w:t>↑ Raised (revenue-related)</w:t>
            </w:r>
          </w:p>
        </w:tc>
      </w:tr>
      <w:tr>
        <w:tc>
          <w:tcPr>
            <w:tcW w:type="dxa" w:w="1728"/>
          </w:tcPr>
          <w:p>
            <w:r>
              <w:rPr>
                <w:rFonts w:ascii="Calibri" w:hAnsi="Calibri"/>
                <w:sz w:val="22"/>
              </w:rPr>
              <w:t>Net Interest Margin (FY)</w:t>
            </w:r>
          </w:p>
        </w:tc>
        <w:tc>
          <w:tcPr>
            <w:tcW w:type="dxa" w:w="1728"/>
          </w:tcPr>
          <w:p>
            <w:r>
              <w:rPr>
                <w:rFonts w:ascii="Calibri" w:hAnsi="Calibri"/>
                <w:sz w:val="22"/>
              </w:rPr>
              <w:t>~100–105 bps (implied)</w:t>
            </w:r>
          </w:p>
        </w:tc>
        <w:tc>
          <w:tcPr>
            <w:tcW w:type="dxa" w:w="1728"/>
          </w:tcPr>
          <w:p>
            <w:r>
              <w:rPr>
                <w:rFonts w:ascii="Calibri" w:hAnsi="Calibri"/>
                <w:sz w:val="22"/>
              </w:rPr>
              <w:t>110–115 bps</w:t>
            </w:r>
          </w:p>
        </w:tc>
        <w:tc>
          <w:tcPr>
            <w:tcW w:type="dxa" w:w="1728"/>
          </w:tcPr>
          <w:p>
            <w:r>
              <w:rPr>
                <w:rFonts w:ascii="Calibri" w:hAnsi="Calibri"/>
                <w:sz w:val="22"/>
              </w:rPr>
              <w:t>NIM “responded quite nicely”; U.S. balance sheet neutral-to-asset-sensitive; ECB hikes add ~$5M/quarter</w:t>
            </w:r>
          </w:p>
        </w:tc>
        <w:tc>
          <w:tcPr>
            <w:tcW w:type="dxa" w:w="1728"/>
          </w:tcPr>
          <w:p>
            <w:r>
              <w:rPr>
                <w:rFonts w:ascii="Calibri" w:hAnsi="Calibri"/>
                <w:b/>
                <w:color w:val="30A46C"/>
                <w:sz w:val="22"/>
              </w:rPr>
              <w:t>↑ Raised</w:t>
            </w:r>
          </w:p>
        </w:tc>
      </w:tr>
      <w:tr>
        <w:tc>
          <w:tcPr>
            <w:tcW w:type="dxa" w:w="1728"/>
          </w:tcPr>
          <w:p>
            <w:r>
              <w:rPr>
                <w:rFonts w:ascii="Calibri" w:hAnsi="Calibri"/>
                <w:sz w:val="22"/>
              </w:rPr>
              <w:t>Deposits (FY range)</w:t>
            </w:r>
          </w:p>
        </w:tc>
        <w:tc>
          <w:tcPr>
            <w:tcW w:type="dxa" w:w="1728"/>
          </w:tcPr>
          <w:p>
            <w:r>
              <w:rPr>
                <w:rFonts w:ascii="Calibri" w:hAnsi="Calibri"/>
                <w:sz w:val="22"/>
              </w:rPr>
              <w:t>~$250B</w:t>
            </w:r>
          </w:p>
        </w:tc>
        <w:tc>
          <w:tcPr>
            <w:tcW w:type="dxa" w:w="1728"/>
          </w:tcPr>
          <w:p>
            <w:r>
              <w:rPr>
                <w:rFonts w:ascii="Calibri" w:hAnsi="Calibri"/>
                <w:sz w:val="22"/>
              </w:rPr>
              <w:t>$250B–$260B</w:t>
            </w:r>
          </w:p>
        </w:tc>
        <w:tc>
          <w:tcPr>
            <w:tcW w:type="dxa" w:w="1728"/>
          </w:tcPr>
          <w:p>
            <w:r>
              <w:rPr>
                <w:rFonts w:ascii="Calibri" w:hAnsi="Calibri"/>
                <w:sz w:val="22"/>
              </w:rPr>
              <w:t>Q2 deposits “a little bit north of that range” — tracking above guidance</w:t>
            </w:r>
          </w:p>
        </w:tc>
        <w:tc>
          <w:tcPr>
            <w:tcW w:type="dxa" w:w="1728"/>
          </w:tcPr>
          <w:p>
            <w:r>
              <w:rPr>
                <w:rFonts w:ascii="Calibri" w:hAnsi="Calibri"/>
                <w:b/>
                <w:color w:val="30A46C"/>
                <w:sz w:val="22"/>
              </w:rPr>
              <w:t>↑ Tracking Above</w:t>
            </w:r>
          </w:p>
        </w:tc>
      </w:tr>
      <w:tr>
        <w:tc>
          <w:tcPr>
            <w:tcW w:type="dxa" w:w="1728"/>
          </w:tcPr>
          <w:p>
            <w:r>
              <w:rPr>
                <w:rFonts w:ascii="Calibri" w:hAnsi="Calibri"/>
                <w:sz w:val="22"/>
              </w:rPr>
              <w:t>Servicing Fee Sales Target (FY)</w:t>
            </w:r>
          </w:p>
        </w:tc>
        <w:tc>
          <w:tcPr>
            <w:tcW w:type="dxa" w:w="1728"/>
          </w:tcPr>
          <w:p>
            <w:r>
              <w:rPr>
                <w:rFonts w:ascii="Calibri" w:hAnsi="Calibri"/>
                <w:sz w:val="22"/>
              </w:rPr>
              <w:t>$350M–$400M</w:t>
            </w:r>
          </w:p>
        </w:tc>
        <w:tc>
          <w:tcPr>
            <w:tcW w:type="dxa" w:w="1728"/>
          </w:tcPr>
          <w:p>
            <w:r>
              <w:rPr>
                <w:rFonts w:ascii="Calibri" w:hAnsi="Calibri"/>
                <w:sz w:val="22"/>
              </w:rPr>
              <w:t>$350M–$400M (unchanged)</w:t>
            </w:r>
          </w:p>
        </w:tc>
        <w:tc>
          <w:tcPr>
            <w:tcW w:type="dxa" w:w="1728"/>
          </w:tcPr>
          <w:p>
            <w:r>
              <w:rPr>
                <w:rFonts w:ascii="Calibri" w:hAnsi="Calibri"/>
                <w:sz w:val="22"/>
              </w:rPr>
              <w:t>Organic growth story playing out; net new business and installs contributing positively</w:t>
            </w:r>
          </w:p>
        </w:tc>
        <w:tc>
          <w:tcPr>
            <w:tcW w:type="dxa" w:w="1728"/>
          </w:tcPr>
          <w:p>
            <w:r>
              <w:rPr>
                <w:rFonts w:ascii="Calibri" w:hAnsi="Calibri"/>
                <w:b/>
                <w:color w:val="002FA7"/>
                <w:sz w:val="22"/>
              </w:rPr>
              <w:t>→ Unchanged</w:t>
            </w:r>
          </w:p>
        </w:tc>
      </w:tr>
      <w:tr>
        <w:tc>
          <w:tcPr>
            <w:tcW w:type="dxa" w:w="1728"/>
          </w:tcPr>
          <w:p>
            <w:r>
              <w:rPr>
                <w:rFonts w:ascii="Calibri" w:hAnsi="Calibri"/>
                <w:sz w:val="22"/>
              </w:rPr>
              <w:t>Pre-Tax Margin (FY implied)</w:t>
            </w:r>
          </w:p>
        </w:tc>
        <w:tc>
          <w:tcPr>
            <w:tcW w:type="dxa" w:w="1728"/>
          </w:tcPr>
          <w:p>
            <w:r>
              <w:rPr>
                <w:rFonts w:ascii="Calibri" w:hAnsi="Calibri"/>
                <w:sz w:val="22"/>
              </w:rPr>
              <w:t>~29–30% (implied)</w:t>
            </w:r>
          </w:p>
        </w:tc>
        <w:tc>
          <w:tcPr>
            <w:tcW w:type="dxa" w:w="1728"/>
          </w:tcPr>
          <w:p>
            <w:r>
              <w:rPr>
                <w:rFonts w:ascii="Calibri" w:hAnsi="Calibri"/>
                <w:sz w:val="22"/>
              </w:rPr>
              <w:t>~31% (implied by guidance)</w:t>
            </w:r>
          </w:p>
        </w:tc>
        <w:tc>
          <w:tcPr>
            <w:tcW w:type="dxa" w:w="1728"/>
          </w:tcPr>
          <w:p>
            <w:r>
              <w:rPr>
                <w:rFonts w:ascii="Calibri" w:hAnsi="Calibri"/>
                <w:sz w:val="22"/>
              </w:rPr>
              <w:t>Operating leverage “likely translating” into Q2; medium-term targets update at July investor event</w:t>
            </w:r>
          </w:p>
        </w:tc>
        <w:tc>
          <w:tcPr>
            <w:tcW w:type="dxa" w:w="1728"/>
          </w:tcPr>
          <w:p>
            <w:r>
              <w:rPr>
                <w:rFonts w:ascii="Calibri" w:hAnsi="Calibri"/>
                <w:b/>
                <w:color w:val="30A46C"/>
                <w:sz w:val="22"/>
              </w:rPr>
              <w:t>↑ Raised</w:t>
            </w:r>
          </w:p>
        </w:tc>
      </w:tr>
      <w:tr>
        <w:tc>
          <w:tcPr>
            <w:tcW w:type="dxa" w:w="1728"/>
          </w:tcPr>
          <w:p>
            <w:r>
              <w:rPr>
                <w:rFonts w:ascii="Calibri" w:hAnsi="Calibri"/>
                <w:sz w:val="22"/>
              </w:rPr>
              <w:t>Total Payout Ratio</w:t>
            </w:r>
          </w:p>
        </w:tc>
        <w:tc>
          <w:tcPr>
            <w:tcW w:type="dxa" w:w="1728"/>
          </w:tcPr>
          <w:p>
            <w:r>
              <w:rPr>
                <w:rFonts w:ascii="Calibri" w:hAnsi="Calibri"/>
                <w:sz w:val="22"/>
              </w:rPr>
              <w:t>~80% (GAAP)</w:t>
            </w:r>
          </w:p>
        </w:tc>
        <w:tc>
          <w:tcPr>
            <w:tcW w:type="dxa" w:w="1728"/>
          </w:tcPr>
          <w:p>
            <w:r>
              <w:rPr>
                <w:rFonts w:ascii="Calibri" w:hAnsi="Calibri"/>
                <w:sz w:val="22"/>
              </w:rPr>
              <w:t>~80% (GAAP, unchanged)</w:t>
            </w:r>
          </w:p>
        </w:tc>
        <w:tc>
          <w:tcPr>
            <w:tcW w:type="dxa" w:w="1728"/>
          </w:tcPr>
          <w:p>
            <w:r>
              <w:rPr>
                <w:rFonts w:ascii="Calibri" w:hAnsi="Calibri"/>
                <w:sz w:val="22"/>
              </w:rPr>
              <w:t>No change noted</w:t>
            </w:r>
          </w:p>
        </w:tc>
        <w:tc>
          <w:tcPr>
            <w:tcW w:type="dxa" w:w="1728"/>
          </w:tcPr>
          <w:p>
            <w:r>
              <w:rPr>
                <w:rFonts w:ascii="Calibri" w:hAnsi="Calibri"/>
                <w:b/>
                <w:color w:val="002FA7"/>
                <w:sz w:val="22"/>
              </w:rPr>
              <w:t>→ Unchanged</w:t>
            </w:r>
          </w:p>
        </w:tc>
      </w:tr>
    </w:tbl>
    <w:p>
      <w:r>
        <w:rPr>
          <w:rFonts w:ascii="Calibri" w:hAnsi="Calibri"/>
          <w:b/>
          <w:color w:val="525866"/>
          <w:sz w:val="22"/>
        </w:rPr>
        <w:t>Key Tone Shifts Since Q1 2026 Earnings:</w:t>
      </w:r>
    </w:p>
    <w:p>
      <w:pPr>
        <w:pStyle w:val="ListBullet"/>
        <w:ind w:left="360" w:hanging="360"/>
      </w:pPr>
      <w:r>
        <w:rPr>
          <w:rFonts w:ascii="Calibri" w:hAnsi="Calibri"/>
          <w:b/>
          <w:color w:val="525866"/>
          <w:sz w:val="22"/>
        </w:rPr>
        <w:t xml:space="preserve">NII/NIM: </w:t>
      </w:r>
      <w:r>
        <w:rPr>
          <w:rFonts w:ascii="Calibri" w:hAnsi="Calibri"/>
          <w:color w:val="525866"/>
          <w:sz w:val="22"/>
        </w:rPr>
        <w:t>Tone shifted from “NIM-led growth” to confirmed outperformance — balance sheet optimization actions on both asset and liability sides have “responded quite nicely,” with Q2 NIM tracking above the 110–115 bps full-year guide.</w:t>
      </w:r>
    </w:p>
    <w:p>
      <w:pPr>
        <w:pStyle w:val="ListBullet"/>
        <w:ind w:left="360" w:hanging="360"/>
      </w:pPr>
      <w:r>
        <w:rPr>
          <w:rFonts w:ascii="Calibri" w:hAnsi="Calibri"/>
          <w:b/>
          <w:color w:val="525866"/>
          <w:sz w:val="22"/>
        </w:rPr>
        <w:t xml:space="preserve">Fee Revenue: </w:t>
      </w:r>
      <w:r>
        <w:rPr>
          <w:rFonts w:ascii="Calibri" w:hAnsi="Calibri"/>
          <w:color w:val="525866"/>
          <w:sz w:val="22"/>
        </w:rPr>
        <w:t>Management explicitly flagged revenues tracking “low-teens % YoY” in Q2 at the June 10 Morgan Stanley conference — a rare and unusually specific intra-quarter positive pre-announcement.</w:t>
      </w:r>
    </w:p>
    <w:p>
      <w:pPr>
        <w:pStyle w:val="ListBullet"/>
        <w:ind w:left="360" w:hanging="360"/>
      </w:pPr>
      <w:r>
        <w:rPr>
          <w:rFonts w:ascii="Calibri" w:hAnsi="Calibri"/>
          <w:b/>
          <w:color w:val="525866"/>
          <w:sz w:val="22"/>
        </w:rPr>
        <w:t xml:space="preserve">FX Trading: </w:t>
      </w:r>
      <w:r>
        <w:rPr>
          <w:rFonts w:ascii="Calibri" w:hAnsi="Calibri"/>
          <w:color w:val="525866"/>
          <w:sz w:val="22"/>
        </w:rPr>
        <w:t>Despite volatility moderating from Q1’s record levels, client volumes have been “very resilient,” and management expressed positive sentiment about markets business contributions in Q2.</w:t>
      </w:r>
    </w:p>
    <w:p>
      <w:pPr>
        <w:pStyle w:val="ListBullet"/>
        <w:ind w:left="360" w:hanging="360"/>
      </w:pPr>
      <w:r>
        <w:rPr>
          <w:rFonts w:ascii="Calibri" w:hAnsi="Calibri"/>
          <w:b/>
          <w:color w:val="525866"/>
          <w:sz w:val="22"/>
        </w:rPr>
        <w:t xml:space="preserve">AUM Flows: </w:t>
      </w:r>
      <w:r>
        <w:rPr>
          <w:rFonts w:ascii="Calibri" w:hAnsi="Calibri"/>
          <w:color w:val="525866"/>
          <w:sz w:val="22"/>
        </w:rPr>
        <w:t>ETF flows in Q2 described as “very strong… meaningfully higher than Q1,” driven by equities, fixed income, and cash — primarily a North American story vs. Europe leading in Q1.</w:t>
      </w:r>
    </w:p>
    <w:p>
      <w:pPr>
        <w:pStyle w:val="ListBullet"/>
        <w:ind w:left="360" w:hanging="360"/>
      </w:pPr>
      <w:r>
        <w:rPr>
          <w:rFonts w:ascii="Calibri" w:hAnsi="Calibri"/>
          <w:b/>
          <w:color w:val="525866"/>
          <w:sz w:val="22"/>
        </w:rPr>
        <w:t xml:space="preserve">Medium-Term Targets: </w:t>
      </w:r>
      <w:r>
        <w:rPr>
          <w:rFonts w:ascii="Calibri" w:hAnsi="Calibri"/>
          <w:color w:val="525866"/>
          <w:sz w:val="22"/>
        </w:rPr>
        <w:t>Management confirmed a July investor event to share multi-year framework on pre-tax margin and returns — a potential catalyst for further re-rating if targets exceed current consensus expectations.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 revisions have moved sharply higher following the Q1 2026 guidance raise, with consensus now tracking well above pre-Q1 levels — revisions are moving with guidance, not diverging, which reduces the risk of a negative surprise.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w:t>
            </w:r>
          </w:p>
        </w:tc>
        <w:tc>
          <w:tcPr>
            <w:tcW w:type="dxa" w:w="1728"/>
            <w:shd w:val="clear" w:color="auto" w:fill="3B4259"/>
          </w:tcPr>
          <w:p>
            <w:r>
              <w:rPr>
                <w:rFonts w:ascii="Calibri" w:hAnsi="Calibri"/>
                <w:b/>
                <w:color w:val="FFFFFF"/>
                <w:sz w:val="22"/>
              </w:rPr>
              <w:t>Pre-Q1 Earnings Consensus (Apr 16, 2026)</w:t>
            </w:r>
          </w:p>
        </w:tc>
        <w:tc>
          <w:tcPr>
            <w:tcW w:type="dxa" w:w="1728"/>
            <w:shd w:val="clear" w:color="auto" w:fill="3B4259"/>
          </w:tcPr>
          <w:p>
            <w:r>
              <w:rPr>
                <w:rFonts w:ascii="Calibri" w:hAnsi="Calibri"/>
                <w:b/>
                <w:color w:val="FFFFFF"/>
                <w:sz w:val="22"/>
              </w:rPr>
              <w:t>Post-Q1 Earnings Consensus (Current)</w:t>
            </w:r>
          </w:p>
        </w:tc>
        <w:tc>
          <w:tcPr>
            <w:tcW w:type="dxa" w:w="1728"/>
            <w:shd w:val="clear" w:color="auto" w:fill="3B4259"/>
          </w:tcPr>
          <w:p>
            <w:r>
              <w:rPr>
                <w:rFonts w:ascii="Calibri" w:hAnsi="Calibri"/>
                <w:b/>
                <w:color w:val="FFFFFF"/>
                <w:sz w:val="22"/>
              </w:rPr>
              <w:t>Revision Direction</w:t>
            </w:r>
          </w:p>
        </w:tc>
        <w:tc>
          <w:tcPr>
            <w:tcW w:type="dxa" w:w="1728"/>
            <w:shd w:val="clear" w:color="auto" w:fill="3B4259"/>
          </w:tcPr>
          <w:p>
            <w:r>
              <w:rPr>
                <w:rFonts w:ascii="Calibri" w:hAnsi="Calibri"/>
                <w:b/>
                <w:color w:val="FFFFFF"/>
                <w:sz w:val="22"/>
              </w:rPr>
              <w:t>Commentary</w:t>
            </w:r>
          </w:p>
        </w:tc>
      </w:tr>
      <w:tr>
        <w:tc>
          <w:tcPr>
            <w:tcW w:type="dxa" w:w="1728"/>
          </w:tcPr>
          <w:p>
            <w:r>
              <w:rPr>
                <w:rFonts w:ascii="Calibri" w:hAnsi="Calibri"/>
                <w:sz w:val="22"/>
              </w:rPr>
              <w:t>Q2 2026 Op. EPS ($)</w:t>
            </w:r>
          </w:p>
        </w:tc>
        <w:tc>
          <w:tcPr>
            <w:tcW w:type="dxa" w:w="1728"/>
          </w:tcPr>
          <w:p>
            <w:r>
              <w:rPr>
                <w:rFonts w:ascii="Calibri" w:hAnsi="Calibri"/>
                <w:sz w:val="22"/>
              </w:rPr>
              <w:t>~$2.65 (Q1 2026 pre-print cons.)</w:t>
            </w:r>
          </w:p>
        </w:tc>
        <w:tc>
          <w:tcPr>
            <w:tcW w:type="dxa" w:w="1728"/>
          </w:tcPr>
          <w:p>
            <w:r>
              <w:rPr>
                <w:rFonts w:ascii="Calibri" w:hAnsi="Calibri"/>
                <w:sz w:val="22"/>
              </w:rPr>
              <w:t>$3.34</w:t>
            </w:r>
          </w:p>
        </w:tc>
        <w:tc>
          <w:tcPr>
            <w:tcW w:type="dxa" w:w="1728"/>
          </w:tcPr>
          <w:p>
            <w:r>
              <w:rPr>
                <w:rFonts w:ascii="Calibri" w:hAnsi="Calibri"/>
                <w:b/>
                <w:color w:val="30A46C"/>
                <w:sz w:val="22"/>
              </w:rPr>
              <w:t>↑ +26% revision</w:t>
            </w:r>
          </w:p>
        </w:tc>
        <w:tc>
          <w:tcPr>
            <w:tcW w:type="dxa" w:w="1728"/>
          </w:tcPr>
          <w:p>
            <w:r>
              <w:rPr>
                <w:rFonts w:ascii="Calibri" w:hAnsi="Calibri"/>
                <w:sz w:val="22"/>
              </w:rPr>
              <w:t>Driven by guidance raise on fee revenue and NII; positive operating leverage</w:t>
            </w:r>
          </w:p>
        </w:tc>
      </w:tr>
      <w:tr>
        <w:tc>
          <w:tcPr>
            <w:tcW w:type="dxa" w:w="1728"/>
          </w:tcPr>
          <w:p>
            <w:r>
              <w:rPr>
                <w:rFonts w:ascii="Calibri" w:hAnsi="Calibri"/>
                <w:sz w:val="22"/>
              </w:rPr>
              <w:t>Q2 2026 Total Fee Revenue ($B)</w:t>
            </w:r>
          </w:p>
        </w:tc>
        <w:tc>
          <w:tcPr>
            <w:tcW w:type="dxa" w:w="1728"/>
          </w:tcPr>
          <w:p>
            <w:r>
              <w:rPr>
                <w:rFonts w:ascii="Calibri" w:hAnsi="Calibri"/>
                <w:sz w:val="22"/>
              </w:rPr>
              <w:t>~$2.89B (Q1 2026 pre-print cons.)</w:t>
            </w:r>
          </w:p>
        </w:tc>
        <w:tc>
          <w:tcPr>
            <w:tcW w:type="dxa" w:w="1728"/>
          </w:tcPr>
          <w:p>
            <w:r>
              <w:rPr>
                <w:rFonts w:ascii="Calibri" w:hAnsi="Calibri"/>
                <w:sz w:val="22"/>
              </w:rPr>
              <w:t>$3.07B</w:t>
            </w:r>
          </w:p>
        </w:tc>
        <w:tc>
          <w:tcPr>
            <w:tcW w:type="dxa" w:w="1728"/>
          </w:tcPr>
          <w:p>
            <w:r>
              <w:rPr>
                <w:rFonts w:ascii="Calibri" w:hAnsi="Calibri"/>
                <w:b/>
                <w:color w:val="30A46C"/>
                <w:sz w:val="22"/>
              </w:rPr>
              <w:t>↑ +6% revision</w:t>
            </w:r>
          </w:p>
        </w:tc>
        <w:tc>
          <w:tcPr>
            <w:tcW w:type="dxa" w:w="1728"/>
          </w:tcPr>
          <w:p>
            <w:r>
              <w:rPr>
                <w:rFonts w:ascii="Calibri" w:hAnsi="Calibri"/>
                <w:sz w:val="22"/>
              </w:rPr>
              <w:t>Reflects raised FY fee revenue guide of +7% to +9%; FX trading and servicing strength</w:t>
            </w:r>
          </w:p>
        </w:tc>
      </w:tr>
      <w:tr>
        <w:tc>
          <w:tcPr>
            <w:tcW w:type="dxa" w:w="1728"/>
          </w:tcPr>
          <w:p>
            <w:r>
              <w:rPr>
                <w:rFonts w:ascii="Calibri" w:hAnsi="Calibri"/>
                <w:sz w:val="22"/>
              </w:rPr>
              <w:t>Q2 2026 NII ($B)</w:t>
            </w:r>
          </w:p>
        </w:tc>
        <w:tc>
          <w:tcPr>
            <w:tcW w:type="dxa" w:w="1728"/>
          </w:tcPr>
          <w:p>
            <w:r>
              <w:rPr>
                <w:rFonts w:ascii="Calibri" w:hAnsi="Calibri"/>
                <w:sz w:val="22"/>
              </w:rPr>
              <w:t>~$0.78B (Q1 2026 pre-print cons.)</w:t>
            </w:r>
          </w:p>
        </w:tc>
        <w:tc>
          <w:tcPr>
            <w:tcW w:type="dxa" w:w="1728"/>
          </w:tcPr>
          <w:p>
            <w:r>
              <w:rPr>
                <w:rFonts w:ascii="Calibri" w:hAnsi="Calibri"/>
                <w:sz w:val="22"/>
              </w:rPr>
              <w:t>$0.834B</w:t>
            </w:r>
          </w:p>
        </w:tc>
        <w:tc>
          <w:tcPr>
            <w:tcW w:type="dxa" w:w="1728"/>
          </w:tcPr>
          <w:p>
            <w:r>
              <w:rPr>
                <w:rFonts w:ascii="Calibri" w:hAnsi="Calibri"/>
                <w:b/>
                <w:color w:val="30A46C"/>
                <w:sz w:val="22"/>
              </w:rPr>
              <w:t>↑ +7% revision</w:t>
            </w:r>
          </w:p>
        </w:tc>
        <w:tc>
          <w:tcPr>
            <w:tcW w:type="dxa" w:w="1728"/>
          </w:tcPr>
          <w:p>
            <w:r>
              <w:rPr>
                <w:rFonts w:ascii="Calibri" w:hAnsi="Calibri"/>
                <w:sz w:val="22"/>
              </w:rPr>
              <w:t>NII guide raised from low single digits to +8–10% FY; NIM expansion the primary driver</w:t>
            </w:r>
          </w:p>
        </w:tc>
      </w:tr>
      <w:tr>
        <w:tc>
          <w:tcPr>
            <w:tcW w:type="dxa" w:w="1728"/>
          </w:tcPr>
          <w:p>
            <w:r>
              <w:rPr>
                <w:rFonts w:ascii="Calibri" w:hAnsi="Calibri"/>
                <w:sz w:val="22"/>
              </w:rPr>
              <w:t>FY 2026 Op. EPS ($)</w:t>
            </w:r>
          </w:p>
        </w:tc>
        <w:tc>
          <w:tcPr>
            <w:tcW w:type="dxa" w:w="1728"/>
          </w:tcPr>
          <w:p>
            <w:r>
              <w:rPr>
                <w:rFonts w:ascii="Calibri" w:hAnsi="Calibri"/>
                <w:sz w:val="22"/>
              </w:rPr>
              <w:t>~$11.50 (pre-Q1 print estimate)</w:t>
            </w:r>
          </w:p>
        </w:tc>
        <w:tc>
          <w:tcPr>
            <w:tcW w:type="dxa" w:w="1728"/>
          </w:tcPr>
          <w:p>
            <w:r>
              <w:rPr>
                <w:rFonts w:ascii="Calibri" w:hAnsi="Calibri"/>
                <w:sz w:val="22"/>
              </w:rPr>
              <w:t>$13.06</w:t>
            </w:r>
          </w:p>
        </w:tc>
        <w:tc>
          <w:tcPr>
            <w:tcW w:type="dxa" w:w="1728"/>
          </w:tcPr>
          <w:p>
            <w:r>
              <w:rPr>
                <w:rFonts w:ascii="Calibri" w:hAnsi="Calibri"/>
                <w:b/>
                <w:color w:val="30A46C"/>
                <w:sz w:val="22"/>
              </w:rPr>
              <w:t>↑ +14% revision</w:t>
            </w:r>
          </w:p>
        </w:tc>
        <w:tc>
          <w:tcPr>
            <w:tcW w:type="dxa" w:w="1728"/>
          </w:tcPr>
          <w:p>
            <w:r>
              <w:rPr>
                <w:rFonts w:ascii="Calibri" w:hAnsi="Calibri"/>
                <w:sz w:val="22"/>
              </w:rPr>
              <w:t>Full-year guidance raise and strong Q1 beat drove broad upward revisions across the Street</w:t>
            </w:r>
          </w:p>
        </w:tc>
      </w:tr>
      <w:tr>
        <w:tc>
          <w:tcPr>
            <w:tcW w:type="dxa" w:w="1728"/>
          </w:tcPr>
          <w:p>
            <w:r>
              <w:rPr>
                <w:rFonts w:ascii="Calibri" w:hAnsi="Calibri"/>
                <w:sz w:val="22"/>
              </w:rPr>
              <w:t>FY 2026 Total Revenue ($B)</w:t>
            </w:r>
          </w:p>
        </w:tc>
        <w:tc>
          <w:tcPr>
            <w:tcW w:type="dxa" w:w="1728"/>
          </w:tcPr>
          <w:p>
            <w:r>
              <w:rPr>
                <w:rFonts w:ascii="Calibri" w:hAnsi="Calibri"/>
                <w:sz w:val="22"/>
              </w:rPr>
              <w:t>~$14.5B (pre-Q1 print estimate)</w:t>
            </w:r>
          </w:p>
        </w:tc>
        <w:tc>
          <w:tcPr>
            <w:tcW w:type="dxa" w:w="1728"/>
          </w:tcPr>
          <w:p>
            <w:r>
              <w:rPr>
                <w:rFonts w:ascii="Calibri" w:hAnsi="Calibri"/>
                <w:sz w:val="22"/>
              </w:rPr>
              <w:t>$15.58B</w:t>
            </w:r>
          </w:p>
        </w:tc>
        <w:tc>
          <w:tcPr>
            <w:tcW w:type="dxa" w:w="1728"/>
          </w:tcPr>
          <w:p>
            <w:r>
              <w:rPr>
                <w:rFonts w:ascii="Calibri" w:hAnsi="Calibri"/>
                <w:b/>
                <w:color w:val="30A46C"/>
                <w:sz w:val="22"/>
              </w:rPr>
              <w:t>↑ +7% revision</w:t>
            </w:r>
          </w:p>
        </w:tc>
        <w:tc>
          <w:tcPr>
            <w:tcW w:type="dxa" w:w="1728"/>
          </w:tcPr>
          <w:p>
            <w:r>
              <w:rPr>
                <w:rFonts w:ascii="Calibri" w:hAnsi="Calibri"/>
                <w:sz w:val="22"/>
              </w:rPr>
              <w:t>Reflects both fee revenue and NII guidance raises; record Q1 revenue provided strong base</w:t>
            </w:r>
          </w:p>
        </w:tc>
      </w:tr>
    </w:tbl>
    <w:p>
      <w:r>
        <w:rPr>
          <w:rFonts w:ascii="Calibri" w:hAnsi="Calibri"/>
          <w:b/>
          <w:color w:val="525866"/>
          <w:sz w:val="22"/>
        </w:rPr>
        <w:t xml:space="preserve">Note: </w:t>
      </w:r>
      <w:r>
        <w:rPr>
          <w:rFonts w:ascii="Calibri" w:hAnsi="Calibri"/>
          <w:i/>
          <w:color w:val="525866"/>
          <w:sz w:val="22"/>
        </w:rPr>
        <w:t>Pre-Q1 earnings consensus figures are approximated from the Q1 2026 pre-print consensus data available in Visible Alpha. Post-Q1 figures are the current consensus as of July 15, 2026. Source: Visible Alpha Consensus and Actuals Data.</w:t>
      </w:r>
    </w:p>
    <w:p>
      <w:r>
        <w:rPr>
          <w:rFonts w:ascii="Calibri" w:hAnsi="Calibri"/>
          <w:color w:val="525866"/>
          <w:sz w:val="22"/>
        </w:rPr>
        <w:t xml:space="preserve">The revision trajectory is unambiguously positive: every major KPI has seen meaningful upward revisions since the Q1 2026 earnings beat and guidance raise. Critically, the revisions are moving </w:t>
      </w:r>
      <w:r>
        <w:rPr>
          <w:rFonts w:ascii="Calibri" w:hAnsi="Calibri"/>
          <w:b/>
          <w:i/>
          <w:color w:val="525866"/>
          <w:sz w:val="22"/>
        </w:rPr>
        <w:t>with</w:t>
      </w:r>
      <w:r>
        <w:rPr>
          <w:rFonts w:ascii="Calibri" w:hAnsi="Calibri"/>
          <w:color w:val="525866"/>
          <w:sz w:val="22"/>
        </w:rPr>
        <w:t xml:space="preserve"> guidance rather than diverging from it, which suggests the Street has appropriately re-anchored to management’s updated framework. The risk of a negative estimate revision surprise heading into Q2 is low, though the stock’s +28% rally since Q1 earnings means the market has already priced in much of this revision cycle.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STT has significantly outperformed both the S&amp;P 500 and the KRE regional bank ETF since Q1 2026 earnings, rallying ~28% vs. ~6% for SPY — the stock has re-rated sharply and is no longer cheap, meaning the Q2 print and medium-term target update must deliver to sustain the multiple.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STT vs. SPY vs. KRE — Indexed Price Performance Since Q1 2026 Earnings (April 17, 2026 = 100). Source: Yahoo Finance / Stock Price Data.</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Metric</w:t>
            </w:r>
          </w:p>
        </w:tc>
        <w:tc>
          <w:tcPr>
            <w:tcW w:type="dxa" w:w="2880"/>
            <w:shd w:val="clear" w:color="auto" w:fill="3B4259"/>
          </w:tcPr>
          <w:p>
            <w:r>
              <w:rPr>
                <w:rFonts w:ascii="Calibri" w:hAnsi="Calibri"/>
                <w:b/>
                <w:color w:val="FFFFFF"/>
                <w:sz w:val="22"/>
              </w:rPr>
              <w:t>Value</w:t>
            </w:r>
          </w:p>
        </w:tc>
        <w:tc>
          <w:tcPr>
            <w:tcW w:type="dxa" w:w="2880"/>
            <w:shd w:val="clear" w:color="auto" w:fill="3B4259"/>
          </w:tcPr>
          <w:p>
            <w:r>
              <w:rPr>
                <w:rFonts w:ascii="Calibri" w:hAnsi="Calibri"/>
                <w:b/>
                <w:color w:val="FFFFFF"/>
                <w:sz w:val="22"/>
              </w:rPr>
              <w:t>Notes</w:t>
            </w:r>
          </w:p>
        </w:tc>
      </w:tr>
      <w:tr>
        <w:tc>
          <w:tcPr>
            <w:tcW w:type="dxa" w:w="2880"/>
          </w:tcPr>
          <w:p>
            <w:r>
              <w:rPr>
                <w:rFonts w:ascii="Calibri" w:hAnsi="Calibri"/>
                <w:sz w:val="22"/>
              </w:rPr>
              <w:t>STT Price (Q1 Earnings Close, Apr 17)</w:t>
            </w:r>
          </w:p>
        </w:tc>
        <w:tc>
          <w:tcPr>
            <w:tcW w:type="dxa" w:w="2880"/>
          </w:tcPr>
          <w:p>
            <w:r>
              <w:rPr>
                <w:rFonts w:ascii="Calibri" w:hAnsi="Calibri"/>
                <w:sz w:val="22"/>
              </w:rPr>
              <w:t>$145.43</w:t>
            </w:r>
          </w:p>
        </w:tc>
        <w:tc>
          <w:tcPr>
            <w:tcW w:type="dxa" w:w="2880"/>
          </w:tcPr>
          <w:p>
            <w:r>
              <w:rPr>
                <w:rFonts w:ascii="Calibri" w:hAnsi="Calibri"/>
                <w:sz w:val="22"/>
              </w:rPr>
              <w:t>Day of Q1 2026 earnings release</w:t>
            </w:r>
          </w:p>
        </w:tc>
      </w:tr>
      <w:tr>
        <w:tc>
          <w:tcPr>
            <w:tcW w:type="dxa" w:w="2880"/>
          </w:tcPr>
          <w:p>
            <w:r>
              <w:rPr>
                <w:rFonts w:ascii="Calibri" w:hAnsi="Calibri"/>
                <w:sz w:val="22"/>
              </w:rPr>
              <w:t>STT Price (Current, Jul 15)</w:t>
            </w:r>
          </w:p>
        </w:tc>
        <w:tc>
          <w:tcPr>
            <w:tcW w:type="dxa" w:w="2880"/>
          </w:tcPr>
          <w:p>
            <w:r>
              <w:rPr>
                <w:rFonts w:ascii="Calibri" w:hAnsi="Calibri"/>
                <w:sz w:val="22"/>
              </w:rPr>
              <w:t>$186.59</w:t>
            </w:r>
          </w:p>
        </w:tc>
        <w:tc>
          <w:tcPr>
            <w:tcW w:type="dxa" w:w="2880"/>
          </w:tcPr>
          <w:p>
            <w:r>
              <w:rPr>
                <w:rFonts w:ascii="Calibri" w:hAnsi="Calibri"/>
                <w:sz w:val="22"/>
              </w:rPr>
              <w:t>As of market close July 15, 2026</w:t>
            </w:r>
          </w:p>
        </w:tc>
      </w:tr>
      <w:tr>
        <w:tc>
          <w:tcPr>
            <w:tcW w:type="dxa" w:w="2880"/>
          </w:tcPr>
          <w:p>
            <w:r>
              <w:rPr>
                <w:rFonts w:ascii="Calibri" w:hAnsi="Calibri"/>
                <w:sz w:val="22"/>
              </w:rPr>
              <w:t>STT Post-Market (Jul 15)</w:t>
            </w:r>
          </w:p>
        </w:tc>
        <w:tc>
          <w:tcPr>
            <w:tcW w:type="dxa" w:w="2880"/>
          </w:tcPr>
          <w:p>
            <w:r>
              <w:rPr>
                <w:rFonts w:ascii="Calibri" w:hAnsi="Calibri"/>
                <w:sz w:val="22"/>
              </w:rPr>
              <w:t>$187.99</w:t>
            </w:r>
          </w:p>
        </w:tc>
        <w:tc>
          <w:tcPr>
            <w:tcW w:type="dxa" w:w="2880"/>
          </w:tcPr>
          <w:p>
            <w:r>
              <w:rPr>
                <w:rFonts w:ascii="Calibri" w:hAnsi="Calibri"/>
                <w:sz w:val="22"/>
              </w:rPr>
              <w:t>Post-market print; Q2 earnings released today</w:t>
            </w:r>
          </w:p>
        </w:tc>
      </w:tr>
      <w:tr>
        <w:tc>
          <w:tcPr>
            <w:tcW w:type="dxa" w:w="2880"/>
          </w:tcPr>
          <w:p>
            <w:r>
              <w:rPr>
                <w:rFonts w:ascii="Calibri" w:hAnsi="Calibri"/>
                <w:sz w:val="22"/>
              </w:rPr>
              <w:t>STT Return Since Q1 Earnings</w:t>
            </w:r>
          </w:p>
        </w:tc>
        <w:tc>
          <w:tcPr>
            <w:tcW w:type="dxa" w:w="2880"/>
          </w:tcPr>
          <w:p>
            <w:r>
              <w:rPr>
                <w:rFonts w:ascii="Calibri" w:hAnsi="Calibri"/>
                <w:b/>
                <w:color w:val="30A46C"/>
                <w:sz w:val="22"/>
              </w:rPr>
              <w:t>+28.3%</w:t>
            </w:r>
          </w:p>
        </w:tc>
        <w:tc>
          <w:tcPr>
            <w:tcW w:type="dxa" w:w="2880"/>
          </w:tcPr>
          <w:p>
            <w:r>
              <w:rPr>
                <w:rFonts w:ascii="Calibri" w:hAnsi="Calibri"/>
                <w:sz w:val="22"/>
              </w:rPr>
              <w:t>From $145.43 to $186.59</w:t>
            </w:r>
          </w:p>
        </w:tc>
      </w:tr>
      <w:tr>
        <w:tc>
          <w:tcPr>
            <w:tcW w:type="dxa" w:w="2880"/>
          </w:tcPr>
          <w:p>
            <w:r>
              <w:rPr>
                <w:rFonts w:ascii="Calibri" w:hAnsi="Calibri"/>
                <w:sz w:val="22"/>
              </w:rPr>
              <w:t>SPY Return (Same Period)</w:t>
            </w:r>
          </w:p>
        </w:tc>
        <w:tc>
          <w:tcPr>
            <w:tcW w:type="dxa" w:w="2880"/>
          </w:tcPr>
          <w:p>
            <w:r>
              <w:rPr>
                <w:rFonts w:ascii="Calibri" w:hAnsi="Calibri"/>
                <w:sz w:val="22"/>
              </w:rPr>
              <w:t>+6.2%</w:t>
            </w:r>
          </w:p>
        </w:tc>
        <w:tc>
          <w:tcPr>
            <w:tcW w:type="dxa" w:w="2880"/>
          </w:tcPr>
          <w:p>
            <w:r>
              <w:rPr>
                <w:rFonts w:ascii="Calibri" w:hAnsi="Calibri"/>
                <w:sz w:val="22"/>
              </w:rPr>
              <w:t>From $710.14 to $754.81</w:t>
            </w:r>
          </w:p>
        </w:tc>
      </w:tr>
      <w:tr>
        <w:tc>
          <w:tcPr>
            <w:tcW w:type="dxa" w:w="2880"/>
          </w:tcPr>
          <w:p>
            <w:r>
              <w:rPr>
                <w:rFonts w:ascii="Calibri" w:hAnsi="Calibri"/>
                <w:sz w:val="22"/>
              </w:rPr>
              <w:t>KRE Return (Same Period)</w:t>
            </w:r>
          </w:p>
        </w:tc>
        <w:tc>
          <w:tcPr>
            <w:tcW w:type="dxa" w:w="2880"/>
          </w:tcPr>
          <w:p>
            <w:r>
              <w:rPr>
                <w:rFonts w:ascii="Calibri" w:hAnsi="Calibri"/>
                <w:sz w:val="22"/>
              </w:rPr>
              <w:t>+7.7%</w:t>
            </w:r>
          </w:p>
        </w:tc>
        <w:tc>
          <w:tcPr>
            <w:tcW w:type="dxa" w:w="2880"/>
          </w:tcPr>
          <w:p>
            <w:r>
              <w:rPr>
                <w:rFonts w:ascii="Calibri" w:hAnsi="Calibri"/>
                <w:sz w:val="22"/>
              </w:rPr>
              <w:t>From $70.37 to $75.78</w:t>
            </w:r>
          </w:p>
        </w:tc>
      </w:tr>
      <w:tr>
        <w:tc>
          <w:tcPr>
            <w:tcW w:type="dxa" w:w="2880"/>
          </w:tcPr>
          <w:p>
            <w:r>
              <w:rPr>
                <w:rFonts w:ascii="Calibri" w:hAnsi="Calibri"/>
                <w:sz w:val="22"/>
              </w:rPr>
              <w:t>STT Relative Outperformance vs. SPY</w:t>
            </w:r>
          </w:p>
        </w:tc>
        <w:tc>
          <w:tcPr>
            <w:tcW w:type="dxa" w:w="2880"/>
          </w:tcPr>
          <w:p>
            <w:r>
              <w:rPr>
                <w:rFonts w:ascii="Calibri" w:hAnsi="Calibri"/>
                <w:b/>
                <w:color w:val="30A46C"/>
                <w:sz w:val="22"/>
              </w:rPr>
              <w:t>+22.1 ppts</w:t>
            </w:r>
          </w:p>
        </w:tc>
        <w:tc>
          <w:tcPr>
            <w:tcW w:type="dxa" w:w="2880"/>
          </w:tcPr>
          <w:p>
            <w:r>
              <w:rPr>
                <w:rFonts w:ascii="Calibri" w:hAnsi="Calibri"/>
                <w:sz w:val="22"/>
              </w:rPr>
              <w:t>Significant alpha generation since Q1 earnings</w:t>
            </w:r>
          </w:p>
        </w:tc>
      </w:tr>
    </w:tbl>
    <w:p>
      <w:r>
        <w:rPr>
          <w:rFonts w:ascii="Calibri" w:hAnsi="Calibri"/>
          <w:i/>
          <w:color w:val="525866"/>
          <w:sz w:val="22"/>
        </w:rPr>
        <w:t>Source: Yahoo Finance / Stock Price Data.</w:t>
      </w:r>
    </w:p>
    <w:p>
      <w:r>
        <w:rPr>
          <w:rFonts w:ascii="Calibri" w:hAnsi="Calibri"/>
          <w:color w:val="525866"/>
          <w:sz w:val="22"/>
        </w:rPr>
        <w:t>The stock’s sharp re-rating reflects the market’s positive reception to the Q1 2026 guidance raise and the constructive intra-quarter commentary at the June Morgan Stanley conference. STT now trades at approximately 14x NTM operating EPS (consensus FY 2026 EPS of $13.06), which is toward the upper end of its historical range and implies the market is pricing in continued execution on the medium-term margin expansion story. The July investor event — where management is expected to share multi-year pre-tax margin and ROTCE targets — is the next key catalyst. If targets imply ROTCE in the mid-20s (vs. current consensus of ~24.6% for Q2 2026), there could be further upside; if targets disappoint or are vague, the stock’s premium multiple is at risk.</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Peers reporting Q2 2026 results and providing intra-quarter commentary are broadly constructive for STT — BK’s record Q2 revenue, strong AUC/A growth, and resilient NII are direct positive read-throughs, while BLK’s strong AUM flows and fee revenue growth validate the asset management backdrop. Conference commentary from NTRS and IVZ adds further color on the operating environment.</w:t>
      </w:r>
    </w:p>
    <w:p>
      <w:r>
        <w:rPr>
          <w:rFonts w:ascii="Calibri" w:hAnsi="Calibri"/>
          <w:b/>
          <w:color w:val="525866"/>
          <w:sz w:val="22"/>
        </w:rPr>
        <w:t xml:space="preserve">Note: </w:t>
      </w:r>
      <w:r>
        <w:rPr>
          <w:rFonts w:ascii="Calibri" w:hAnsi="Calibri"/>
          <w:i/>
          <w:color w:val="525866"/>
          <w:sz w:val="22"/>
        </w:rPr>
        <w:t>Only commentary about Q2 2026 (the current reporting quarter) is included below. Prior-quarter earnings call commentary about Q1 2026 results has been excluded.</w:t>
      </w:r>
    </w:p>
    <w:p>
      <w:pPr>
        <w:pStyle w:val="Heading3"/>
      </w:pPr>
      <w:r>
        <w:rPr>
          <w:rFonts w:ascii="Calibri" w:hAnsi="Calibri"/>
          <w:b/>
          <w:color w:val="3B4259"/>
          <w:sz w:val="24"/>
        </w:rPr>
        <w:t>BK (BNY Mellon) — Q2 2026 Earnings (Reported July 15, 2026)</w:t>
      </w:r>
    </w:p>
    <w:p>
      <w:r>
        <w:rPr>
          <w:rFonts w:ascii="Calibri" w:hAnsi="Calibri"/>
          <w:b/>
          <w:color w:val="525866"/>
          <w:sz w:val="22"/>
        </w:rPr>
        <w:t xml:space="preserve">Read-Through Relevance: </w:t>
      </w:r>
      <w:r>
        <w:rPr>
          <w:rFonts w:ascii="Calibri" w:hAnsi="Calibri"/>
          <w:color w:val="525866"/>
          <w:sz w:val="22"/>
        </w:rPr>
        <w:t>HIGH. BK is STT’s closest direct peer in custody banking and investment services. BK’s Q2 2026 results are a direct template for what STT may report.</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BK Q2 2026 Commentary</w:t>
            </w:r>
          </w:p>
        </w:tc>
        <w:tc>
          <w:tcPr>
            <w:tcW w:type="dxa" w:w="2880"/>
            <w:shd w:val="clear" w:color="auto" w:fill="3B4259"/>
          </w:tcPr>
          <w:p>
            <w:r>
              <w:rPr>
                <w:rFonts w:ascii="Calibri" w:hAnsi="Calibri"/>
                <w:b/>
                <w:color w:val="FFFFFF"/>
                <w:sz w:val="22"/>
              </w:rPr>
              <w:t>STT Read-Through</w:t>
            </w:r>
          </w:p>
        </w:tc>
      </w:tr>
      <w:tr>
        <w:tc>
          <w:tcPr>
            <w:tcW w:type="dxa" w:w="2880"/>
          </w:tcPr>
          <w:p>
            <w:r>
              <w:rPr>
                <w:rFonts w:ascii="Calibri" w:hAnsi="Calibri"/>
                <w:sz w:val="22"/>
              </w:rPr>
              <w:t>Overall Results</w:t>
            </w:r>
          </w:p>
        </w:tc>
        <w:tc>
          <w:tcPr>
            <w:tcW w:type="dxa" w:w="2880"/>
          </w:tcPr>
          <w:p>
            <w:r>
              <w:rPr>
                <w:rFonts w:ascii="Calibri" w:hAnsi="Calibri"/>
                <w:sz w:val="22"/>
              </w:rPr>
              <w:t>EPS +27% YoY to $2.45; total revenue +13% YoY to record $5.7B; ~600 bps positive operating leverage; pre-tax margin expanded to 40%; ROTCE of 31%</w:t>
            </w:r>
          </w:p>
        </w:tc>
        <w:tc>
          <w:tcPr>
            <w:tcW w:type="dxa" w:w="2880"/>
          </w:tcPr>
          <w:p>
            <w:r>
              <w:rPr>
                <w:rFonts w:ascii="Calibri" w:hAnsi="Calibri"/>
                <w:b/>
                <w:color w:val="30A46C"/>
                <w:sz w:val="22"/>
              </w:rPr>
              <w:t>Strongly positive — validates the custody banking operating environment; STT guided “low-teens % YoY” revenue growth, consistent with BK’s +13%</w:t>
            </w:r>
          </w:p>
        </w:tc>
      </w:tr>
      <w:tr>
        <w:tc>
          <w:tcPr>
            <w:tcW w:type="dxa" w:w="2880"/>
          </w:tcPr>
          <w:p>
            <w:r>
              <w:rPr>
                <w:rFonts w:ascii="Calibri" w:hAnsi="Calibri"/>
                <w:sz w:val="22"/>
              </w:rPr>
              <w:t>Investment Services Fees</w:t>
            </w:r>
          </w:p>
        </w:tc>
        <w:tc>
          <w:tcPr>
            <w:tcW w:type="dxa" w:w="2880"/>
          </w:tcPr>
          <w:p>
            <w:r>
              <w:rPr>
                <w:rFonts w:ascii="Calibri" w:hAnsi="Calibri"/>
                <w:sz w:val="22"/>
              </w:rPr>
              <w:t>Investment services fees +13% YoY; Asset Servicing fees +12% (higher client activity and market values); Clearance &amp; Collateral +18%; Issuer Services +23%</w:t>
            </w:r>
          </w:p>
        </w:tc>
        <w:tc>
          <w:tcPr>
            <w:tcW w:type="dxa" w:w="2880"/>
          </w:tcPr>
          <w:p>
            <w:r>
              <w:rPr>
                <w:rFonts w:ascii="Calibri" w:hAnsi="Calibri"/>
                <w:b/>
                <w:color w:val="30A46C"/>
                <w:sz w:val="22"/>
              </w:rPr>
              <w:t>Positive read-through for STT servicing fees — higher client activity and market values are a shared tailwind</w:t>
            </w:r>
          </w:p>
        </w:tc>
      </w:tr>
      <w:tr>
        <w:tc>
          <w:tcPr>
            <w:tcW w:type="dxa" w:w="2880"/>
          </w:tcPr>
          <w:p>
            <w:r>
              <w:rPr>
                <w:rFonts w:ascii="Calibri" w:hAnsi="Calibri"/>
                <w:sz w:val="22"/>
              </w:rPr>
              <w:t>NII / NIM</w:t>
            </w:r>
          </w:p>
        </w:tc>
        <w:tc>
          <w:tcPr>
            <w:tcW w:type="dxa" w:w="2880"/>
          </w:tcPr>
          <w:p>
            <w:r>
              <w:rPr>
                <w:rFonts w:ascii="Calibri" w:hAnsi="Calibri"/>
                <w:sz w:val="22"/>
              </w:rPr>
              <w:t>NII of $1.4B, +20% YoY and +6% QoQ; driven by reinvestment of investment securities at higher yields and balance sheet growth; deposit balances moderated -1% QoQ; investment securities +2%, loans +6%</w:t>
            </w:r>
          </w:p>
        </w:tc>
        <w:tc>
          <w:tcPr>
            <w:tcW w:type="dxa" w:w="2880"/>
          </w:tcPr>
          <w:p>
            <w:r>
              <w:rPr>
                <w:rFonts w:ascii="Calibri" w:hAnsi="Calibri"/>
                <w:b/>
                <w:color w:val="30A46C"/>
                <w:sz w:val="22"/>
              </w:rPr>
              <w:t>Positive — NII growth driven by reinvestment yield and balance sheet mix is the same dynamic STT has guided; deposit moderation is manageable</w:t>
            </w:r>
          </w:p>
        </w:tc>
      </w:tr>
      <w:tr>
        <w:tc>
          <w:tcPr>
            <w:tcW w:type="dxa" w:w="2880"/>
          </w:tcPr>
          <w:p>
            <w:r>
              <w:rPr>
                <w:rFonts w:ascii="Calibri" w:hAnsi="Calibri"/>
                <w:sz w:val="22"/>
              </w:rPr>
              <w:t>AUC/A</w:t>
            </w:r>
          </w:p>
        </w:tc>
        <w:tc>
          <w:tcPr>
            <w:tcW w:type="dxa" w:w="2880"/>
          </w:tcPr>
          <w:p>
            <w:r>
              <w:rPr>
                <w:rFonts w:ascii="Calibri" w:hAnsi="Calibri"/>
                <w:sz w:val="22"/>
              </w:rPr>
              <w:t>Firmwide AUC/A reached $62.6T — strong growth driven by net new business, higher client activity, and higher market values</w:t>
            </w:r>
          </w:p>
        </w:tc>
        <w:tc>
          <w:tcPr>
            <w:tcW w:type="dxa" w:w="2880"/>
          </w:tcPr>
          <w:p>
            <w:r>
              <w:rPr>
                <w:rFonts w:ascii="Calibri" w:hAnsi="Calibri"/>
                <w:b/>
                <w:color w:val="30A46C"/>
                <w:sz w:val="22"/>
              </w:rPr>
              <w:t>Positive — same market value tailwinds and net new business dynamics apply to STT’s AUC/A</w:t>
            </w:r>
          </w:p>
        </w:tc>
      </w:tr>
      <w:tr>
        <w:tc>
          <w:tcPr>
            <w:tcW w:type="dxa" w:w="2880"/>
          </w:tcPr>
          <w:p>
            <w:r>
              <w:rPr>
                <w:rFonts w:ascii="Calibri" w:hAnsi="Calibri"/>
                <w:sz w:val="22"/>
              </w:rPr>
              <w:t>Operating Leverage</w:t>
            </w:r>
          </w:p>
        </w:tc>
        <w:tc>
          <w:tcPr>
            <w:tcW w:type="dxa" w:w="2880"/>
          </w:tcPr>
          <w:p>
            <w:r>
              <w:rPr>
                <w:rFonts w:ascii="Calibri" w:hAnsi="Calibri"/>
                <w:sz w:val="22"/>
              </w:rPr>
              <w:t>~600 bps positive operating leverage; pre-tax margin expanded to 40%; ROTCE of 31%</w:t>
            </w:r>
          </w:p>
        </w:tc>
        <w:tc>
          <w:tcPr>
            <w:tcW w:type="dxa" w:w="2880"/>
          </w:tcPr>
          <w:p>
            <w:r>
              <w:rPr>
                <w:rFonts w:ascii="Calibri" w:hAnsi="Calibri"/>
                <w:b/>
                <w:color w:val="30A46C"/>
                <w:sz w:val="22"/>
              </w:rPr>
              <w:t>Strongly positive — validates the custody banking operating leverage thesis; STT targets ~31% pre-tax margin for FY 2026</w:t>
            </w:r>
          </w:p>
        </w:tc>
      </w:tr>
      <w:tr>
        <w:tc>
          <w:tcPr>
            <w:tcW w:type="dxa" w:w="2880"/>
          </w:tcPr>
          <w:p>
            <w:r>
              <w:rPr>
                <w:rFonts w:ascii="Calibri" w:hAnsi="Calibri"/>
                <w:sz w:val="22"/>
              </w:rPr>
              <w:t>Rate Sensitivity / Deposits</w:t>
            </w:r>
          </w:p>
        </w:tc>
        <w:tc>
          <w:tcPr>
            <w:tcW w:type="dxa" w:w="2880"/>
          </w:tcPr>
          <w:p>
            <w:r>
              <w:rPr>
                <w:rFonts w:ascii="Calibri" w:hAnsi="Calibri"/>
                <w:sz w:val="22"/>
              </w:rPr>
              <w:t>Deposit betas expected at 80% for USD, 60–70% for EUR/GBP; book is ~75% dollar-denominated; risk management focused on “narrowing the cone of outcomes”</w:t>
            </w:r>
          </w:p>
        </w:tc>
        <w:tc>
          <w:tcPr>
            <w:tcW w:type="dxa" w:w="2880"/>
          </w:tcPr>
          <w:p>
            <w:r>
              <w:rPr>
                <w:rFonts w:ascii="Calibri" w:hAnsi="Calibri"/>
                <w:sz w:val="22"/>
              </w:rPr>
              <w:t>Neutral — similar deposit beta dynamics apply to STT; both firms are managing rate sensitivity conservatively</w:t>
            </w:r>
          </w:p>
        </w:tc>
      </w:tr>
    </w:tbl>
    <w:p>
      <w:pPr>
        <w:pStyle w:val="Heading3"/>
      </w:pPr>
      <w:r>
        <w:rPr>
          <w:rFonts w:ascii="Calibri" w:hAnsi="Calibri"/>
          <w:b/>
          <w:color w:val="3B4259"/>
          <w:sz w:val="24"/>
        </w:rPr>
        <w:t>BK (BNY Mellon) — Morgan Stanley U.S. Financials Conference (June 10, 2026)</w:t>
      </w:r>
    </w:p>
    <w:p>
      <w:r>
        <w:rPr>
          <w:rFonts w:ascii="Calibri" w:hAnsi="Calibri"/>
          <w:b/>
          <w:color w:val="525866"/>
          <w:sz w:val="22"/>
        </w:rPr>
        <w:t xml:space="preserve">Read-Through Relevance: </w:t>
      </w:r>
      <w:r>
        <w:rPr>
          <w:rFonts w:ascii="Calibri" w:hAnsi="Calibri"/>
          <w:color w:val="525866"/>
          <w:sz w:val="22"/>
        </w:rPr>
        <w:t>HIGH. BK CFO Dermot McDonogh provided explicit Q2 2026 intra-quarter commentary that is directly comparable to STT’s own June 10 conference commentary.</w:t>
      </w:r>
    </w:p>
    <w:p>
      <w:pPr>
        <w:pStyle w:val="ListBullet"/>
        <w:ind w:left="360" w:hanging="360"/>
      </w:pPr>
      <w:r>
        <w:rPr>
          <w:rFonts w:ascii="Calibri" w:hAnsi="Calibri"/>
          <w:b/>
          <w:color w:val="525866"/>
          <w:sz w:val="22"/>
        </w:rPr>
        <w:t xml:space="preserve">NII Tracking to Guide: </w:t>
      </w:r>
      <w:r>
        <w:rPr>
          <w:rFonts w:ascii="Calibri" w:hAnsi="Calibri"/>
          <w:color w:val="525866"/>
          <w:sz w:val="22"/>
        </w:rPr>
        <w:t>BK reaffirmed its “10% year-over-year” NII guide and said they “feel very good about that guide.” Deposits were expected to “moderate slightly into Q2,” which “largely panned out.” This is consistent with STT’s own commentary that NII is tracking “a little better than expected” in Q2.</w:t>
      </w:r>
    </w:p>
    <w:p>
      <w:pPr>
        <w:pStyle w:val="ListBullet"/>
        <w:ind w:left="360" w:hanging="360"/>
      </w:pPr>
      <w:r>
        <w:rPr>
          <w:rFonts w:ascii="Calibri" w:hAnsi="Calibri"/>
          <w:b/>
          <w:color w:val="525866"/>
          <w:sz w:val="22"/>
        </w:rPr>
        <w:t xml:space="preserve">Client Activity Strong: </w:t>
      </w:r>
      <w:r>
        <w:rPr>
          <w:rFonts w:ascii="Calibri" w:hAnsi="Calibri"/>
          <w:color w:val="525866"/>
          <w:sz w:val="22"/>
        </w:rPr>
        <w:t>BK noted clients “continue to be active and doing a lot,” with Q1 being a “record sales quarter” and strong client dialogue continuing into Q2. This validates STT’s organic growth narrative.</w:t>
      </w:r>
    </w:p>
    <w:p>
      <w:pPr>
        <w:pStyle w:val="ListBullet"/>
        <w:ind w:left="360" w:hanging="360"/>
      </w:pPr>
      <w:r>
        <w:rPr>
          <w:rFonts w:ascii="Calibri" w:hAnsi="Calibri"/>
          <w:b/>
          <w:color w:val="525866"/>
          <w:sz w:val="22"/>
        </w:rPr>
        <w:t xml:space="preserve">Deposit Base Operational: </w:t>
      </w:r>
      <w:r>
        <w:rPr>
          <w:rFonts w:ascii="Calibri" w:hAnsi="Calibri"/>
          <w:color w:val="525866"/>
          <w:sz w:val="22"/>
        </w:rPr>
        <w:t>BK characterized its deposit base as “2/3 operational,” implying high velocity and constant management by clients — a structural characteristic shared with STT that mitigates cash sorting concerns.</w:t>
      </w:r>
    </w:p>
    <w:p>
      <w:pPr>
        <w:pStyle w:val="ListBullet"/>
        <w:ind w:left="360" w:hanging="360"/>
      </w:pPr>
      <w:r>
        <w:rPr>
          <w:rFonts w:ascii="Calibri" w:hAnsi="Calibri"/>
          <w:b/>
          <w:color w:val="525866"/>
          <w:sz w:val="22"/>
        </w:rPr>
        <w:t xml:space="preserve">Operating Leverage Momentum: </w:t>
      </w:r>
      <w:r>
        <w:rPr>
          <w:rFonts w:ascii="Calibri" w:hAnsi="Calibri"/>
          <w:color w:val="525866"/>
          <w:sz w:val="22"/>
        </w:rPr>
        <w:t>BK’s Market and Wealth Services segment has a “roughly 50% margin” with expectations for further improvement — validates the custody banking operating leverage story that STT is also executing on.</w:t>
      </w:r>
    </w:p>
    <w:p>
      <w:pPr>
        <w:pStyle w:val="Heading3"/>
      </w:pPr>
      <w:r>
        <w:rPr>
          <w:rFonts w:ascii="Calibri" w:hAnsi="Calibri"/>
          <w:b/>
          <w:color w:val="3B4259"/>
          <w:sz w:val="24"/>
        </w:rPr>
        <w:t>IVZ (Invesco) — Morgan Stanley U.S. Financials Conference (June 10, 2026) &amp; Bernstein Conference (May 27, 2026)</w:t>
      </w:r>
    </w:p>
    <w:p>
      <w:r>
        <w:rPr>
          <w:rFonts w:ascii="Calibri" w:hAnsi="Calibri"/>
          <w:b/>
          <w:color w:val="525866"/>
          <w:sz w:val="22"/>
        </w:rPr>
        <w:t xml:space="preserve">Read-Through Relevance: </w:t>
      </w:r>
      <w:r>
        <w:rPr>
          <w:rFonts w:ascii="Calibri" w:hAnsi="Calibri"/>
          <w:color w:val="525866"/>
          <w:sz w:val="22"/>
        </w:rPr>
        <w:t>MEDIUM. IVZ is a mid-size asset manager with significant ETF exposure. Commentary provides read-through for the ETF and active management environment in Q2 2026.</w:t>
      </w:r>
    </w:p>
    <w:p>
      <w:pPr>
        <w:pStyle w:val="ListBullet"/>
        <w:ind w:left="360" w:hanging="360"/>
      </w:pPr>
      <w:r>
        <w:rPr>
          <w:rFonts w:ascii="Calibri" w:hAnsi="Calibri"/>
          <w:b/>
          <w:color w:val="525866"/>
          <w:sz w:val="22"/>
        </w:rPr>
        <w:t xml:space="preserve">ETF Competitive Dynamics: </w:t>
      </w:r>
      <w:r>
        <w:rPr>
          <w:rFonts w:ascii="Calibri" w:hAnsi="Calibri"/>
          <w:color w:val="525866"/>
          <w:sz w:val="22"/>
        </w:rPr>
        <w:t>IVZ commentary at both conferences highlighted the competitive ETF landscape and the importance of product differentiation. STT’s SPY franchise maintains dominant institutional trading volumes (notional value multiples ahead of nearest competitor in Q1 2026), suggesting STT is well-positioned relative to smaller ETF competitors.</w:t>
      </w:r>
    </w:p>
    <w:p>
      <w:pPr>
        <w:pStyle w:val="ListBullet"/>
        <w:ind w:left="360" w:hanging="360"/>
      </w:pPr>
      <w:r>
        <w:rPr>
          <w:rFonts w:ascii="Calibri" w:hAnsi="Calibri"/>
          <w:b/>
          <w:color w:val="525866"/>
          <w:sz w:val="22"/>
        </w:rPr>
        <w:t xml:space="preserve">Active vs. Passive Flows: </w:t>
      </w:r>
      <w:r>
        <w:rPr>
          <w:rFonts w:ascii="Calibri" w:hAnsi="Calibri"/>
          <w:color w:val="525866"/>
          <w:sz w:val="22"/>
        </w:rPr>
        <w:t>IVZ’s commentary on active-to-passive flow dynamics is relevant to STT’s SSGA business, which is predominantly passive. The continued shift toward passive and ETF vehicles is a structural tailwind for STT’s management fee revenue.</w:t>
      </w:r>
    </w:p>
    <w:p>
      <w:pPr>
        <w:pStyle w:val="ListBullet"/>
        <w:ind w:left="360" w:hanging="360"/>
      </w:pPr>
      <w:r>
        <w:rPr>
          <w:rFonts w:ascii="Calibri" w:hAnsi="Calibri"/>
          <w:b/>
          <w:color w:val="525866"/>
          <w:sz w:val="22"/>
        </w:rPr>
        <w:t xml:space="preserve">Fee Pressure: </w:t>
      </w:r>
      <w:r>
        <w:rPr>
          <w:rFonts w:ascii="Calibri" w:hAnsi="Calibri"/>
          <w:color w:val="525866"/>
          <w:sz w:val="22"/>
        </w:rPr>
        <w:t>IVZ noted ongoing fee pressure in the asset management industry, which is a modest headwind for STT’s management fees. However, STT’s scale advantages and ETF franchise dominance provide some insulation.</w:t>
      </w:r>
    </w:p>
    <w:p>
      <w:pPr>
        <w:pStyle w:val="Heading3"/>
      </w:pPr>
      <w:r>
        <w:rPr>
          <w:rFonts w:ascii="Calibri" w:hAnsi="Calibri"/>
          <w:b/>
          <w:color w:val="3B4259"/>
          <w:sz w:val="24"/>
        </w:rPr>
        <w:t>STT Management — Morgan Stanley U.S. Financials Conference (June 10, 2026)</w:t>
      </w:r>
    </w:p>
    <w:p>
      <w:r>
        <w:rPr>
          <w:rFonts w:ascii="Calibri" w:hAnsi="Calibri"/>
          <w:b/>
          <w:color w:val="525866"/>
          <w:sz w:val="22"/>
        </w:rPr>
        <w:t xml:space="preserve">Note: </w:t>
      </w:r>
      <w:r>
        <w:rPr>
          <w:rFonts w:ascii="Calibri" w:hAnsi="Calibri"/>
          <w:color w:val="525866"/>
          <w:sz w:val="22"/>
        </w:rPr>
        <w:t>While this is STT’s own management commentary (not a peer), it is the most important intra-quarter data point and is included here for completeness as it directly informs the Q2 2026 setup.</w:t>
      </w:r>
    </w:p>
    <w:p>
      <w:pPr>
        <w:pStyle w:val="ListBullet"/>
        <w:ind w:left="360" w:hanging="360"/>
      </w:pPr>
      <w:r>
        <w:rPr>
          <w:rFonts w:ascii="Calibri" w:hAnsi="Calibri"/>
          <w:b/>
          <w:color w:val="525866"/>
          <w:sz w:val="22"/>
        </w:rPr>
        <w:t xml:space="preserve">Revenue Tracking “Low-Teens % YoY”: </w:t>
      </w:r>
      <w:r>
        <w:rPr>
          <w:rFonts w:ascii="Calibri" w:hAnsi="Calibri"/>
          <w:color w:val="525866"/>
          <w:sz w:val="22"/>
        </w:rPr>
        <w:t>CFO John Woods explicitly stated Q2 revenues are “coming in year-over-year up around low teens percentage” — described as “a little better than expected.” This is the single most important intra-quarter data point.</w:t>
      </w:r>
    </w:p>
    <w:p>
      <w:pPr>
        <w:pStyle w:val="ListBullet"/>
        <w:ind w:left="360" w:hanging="360"/>
      </w:pPr>
      <w:r>
        <w:rPr>
          <w:rFonts w:ascii="Calibri" w:hAnsi="Calibri"/>
          <w:b/>
          <w:color w:val="525866"/>
          <w:sz w:val="22"/>
        </w:rPr>
        <w:t xml:space="preserve">NII Better Than Expected: </w:t>
      </w:r>
      <w:r>
        <w:rPr>
          <w:rFonts w:ascii="Calibri" w:hAnsi="Calibri"/>
          <w:color w:val="525866"/>
          <w:sz w:val="22"/>
        </w:rPr>
        <w:t>NII has “got a little better than expected this quarter as well,” driven by balance sheet optimization actions on both asset and liability sides taken in 2025. NIM has “responded to that quite nicely.”</w:t>
      </w:r>
    </w:p>
    <w:p>
      <w:pPr>
        <w:pStyle w:val="ListBullet"/>
        <w:ind w:left="360" w:hanging="360"/>
      </w:pPr>
      <w:r>
        <w:rPr>
          <w:rFonts w:ascii="Calibri" w:hAnsi="Calibri"/>
          <w:b/>
          <w:color w:val="525866"/>
          <w:sz w:val="22"/>
        </w:rPr>
        <w:t xml:space="preserve">Servicing Fees — Organic Growth Story: </w:t>
      </w:r>
      <w:r>
        <w:rPr>
          <w:rFonts w:ascii="Calibri" w:hAnsi="Calibri"/>
          <w:color w:val="525866"/>
          <w:sz w:val="22"/>
        </w:rPr>
        <w:t>Positive contributions from both “client activity and flows” AND “net new business and net installs” — both the organic growth story and the constructive equity market backdrop are playing out simultaneously.</w:t>
      </w:r>
    </w:p>
    <w:p>
      <w:pPr>
        <w:pStyle w:val="ListBullet"/>
        <w:ind w:left="360" w:hanging="360"/>
      </w:pPr>
      <w:r>
        <w:rPr>
          <w:rFonts w:ascii="Calibri" w:hAnsi="Calibri"/>
          <w:b/>
          <w:color w:val="525866"/>
          <w:sz w:val="22"/>
        </w:rPr>
        <w:t xml:space="preserve">Management Fees — Very Strong Flows: </w:t>
      </w:r>
      <w:r>
        <w:rPr>
          <w:rFonts w:ascii="Calibri" w:hAnsi="Calibri"/>
          <w:color w:val="525866"/>
          <w:sz w:val="22"/>
        </w:rPr>
        <w:t>ETF flows in Q2 are “very strong… meaningfully higher than Q1,” driven by equities, fixed income, and cash — primarily North American (vs. Europe leading in Q1).</w:t>
      </w:r>
    </w:p>
    <w:p>
      <w:pPr>
        <w:pStyle w:val="ListBullet"/>
        <w:ind w:left="360" w:hanging="360"/>
      </w:pPr>
      <w:r>
        <w:rPr>
          <w:rFonts w:ascii="Calibri" w:hAnsi="Calibri"/>
          <w:b/>
          <w:color w:val="525866"/>
          <w:sz w:val="22"/>
        </w:rPr>
        <w:t xml:space="preserve">FX / Markets Business Resilient: </w:t>
      </w:r>
      <w:r>
        <w:rPr>
          <w:rFonts w:ascii="Calibri" w:hAnsi="Calibri"/>
          <w:color w:val="525866"/>
          <w:sz w:val="22"/>
        </w:rPr>
        <w:t>Despite volatility moderating from Q1 highs, client volumes have been “very resilient.” APAC equities (Korea, Taiwan) are an underappreciated contributor to the markets business.</w:t>
      </w:r>
    </w:p>
    <w:p>
      <w:pPr>
        <w:pStyle w:val="ListBullet"/>
        <w:ind w:left="360" w:hanging="360"/>
      </w:pPr>
      <w:r>
        <w:rPr>
          <w:rFonts w:ascii="Calibri" w:hAnsi="Calibri"/>
          <w:b/>
          <w:color w:val="525866"/>
          <w:sz w:val="22"/>
        </w:rPr>
        <w:t xml:space="preserve">Deposits Above Guidance Range: </w:t>
      </w:r>
      <w:r>
        <w:rPr>
          <w:rFonts w:ascii="Calibri" w:hAnsi="Calibri"/>
          <w:color w:val="525866"/>
          <w:sz w:val="22"/>
        </w:rPr>
        <w:t>Q2 deposits are “a little bit north of” the $250–$260B full-year range — a positive surprise on the funding side.</w:t>
      </w:r>
    </w:p>
    <w:p>
      <w:pPr>
        <w:pStyle w:val="ListBullet"/>
        <w:ind w:left="360" w:hanging="360"/>
      </w:pPr>
      <w:r>
        <w:rPr>
          <w:rFonts w:ascii="Calibri" w:hAnsi="Calibri"/>
          <w:b/>
          <w:color w:val="525866"/>
          <w:sz w:val="22"/>
        </w:rPr>
        <w:t xml:space="preserve">Operating Leverage Likely in Q2: </w:t>
      </w:r>
      <w:r>
        <w:rPr>
          <w:rFonts w:ascii="Calibri" w:hAnsi="Calibri"/>
          <w:color w:val="525866"/>
          <w:sz w:val="22"/>
        </w:rPr>
        <w:t>Strong revenue trends are “likely translating into an operating leverage” outcome in Q2 — consistent with the 9th consecutive quarter of positive operating leverage.</w:t>
      </w:r>
    </w:p>
    <w:p>
      <w:pPr>
        <w:pStyle w:val="ListBullet"/>
        <w:ind w:left="360" w:hanging="360"/>
      </w:pPr>
      <w:r>
        <w:rPr>
          <w:rFonts w:ascii="Calibri" w:hAnsi="Calibri"/>
          <w:b/>
          <w:color w:val="525866"/>
          <w:sz w:val="22"/>
        </w:rPr>
        <w:t xml:space="preserve">Alternatives Growing Faster: </w:t>
      </w:r>
      <w:r>
        <w:rPr>
          <w:rFonts w:ascii="Calibri" w:hAnsi="Calibri"/>
          <w:color w:val="525866"/>
          <w:sz w:val="22"/>
        </w:rPr>
        <w:t>Alternatives now represent ~15–20% of servicing fees and “typically grow faster than the traditional space” — a structural mix shift that supports above-market fee revenue growth.</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Post-Q1 2026 news flow has been constructive — a $1.5B debt issuance signals balance sheet confidence, conference appearances provided positive intra-quarter color, and the July investor event is a near-term catalyst for medium-term target disclosure.</w:t>
      </w:r>
    </w:p>
    <w:p>
      <w:pPr>
        <w:pStyle w:val="ListBullet"/>
        <w:ind w:left="360" w:hanging="360"/>
      </w:pPr>
      <w:r>
        <w:rPr>
          <w:rFonts w:ascii="Calibri" w:hAnsi="Calibri"/>
          <w:b/>
          <w:color w:val="525866"/>
          <w:sz w:val="22"/>
        </w:rPr>
        <w:t xml:space="preserve">Q2 2026 Earnings Date Announced (June 2, 2026): </w:t>
      </w:r>
      <w:r>
        <w:rPr>
          <w:rFonts w:ascii="Calibri" w:hAnsi="Calibri"/>
          <w:color w:val="525866"/>
          <w:sz w:val="22"/>
        </w:rPr>
        <w:t>STT announced Q2 2026 results will be released on July 15, 2026, with a conference call webcast. No surprises in the announcement.</w:t>
      </w:r>
    </w:p>
    <w:p>
      <w:pPr>
        <w:pStyle w:val="ListBullet"/>
        <w:ind w:left="360" w:hanging="360"/>
      </w:pPr>
      <w:r>
        <w:rPr>
          <w:rFonts w:ascii="Calibri" w:hAnsi="Calibri"/>
          <w:b/>
          <w:color w:val="525866"/>
          <w:sz w:val="22"/>
        </w:rPr>
        <w:t xml:space="preserve">$1.5 Billion Senior Notes Issuance (April 24, 2026): </w:t>
      </w:r>
      <w:r>
        <w:rPr>
          <w:rFonts w:ascii="Calibri" w:hAnsi="Calibri"/>
          <w:color w:val="525866"/>
          <w:sz w:val="22"/>
        </w:rPr>
        <w:t>State Street issued $1.5 billion in Fixed-to-Floating Rate Senior Notes. This is a routine capital markets transaction that signals confidence in the balance sheet and provides additional funding flexibility. The issuance is consistent with STT’s active liability management strategy.</w:t>
      </w:r>
    </w:p>
    <w:p>
      <w:pPr>
        <w:pStyle w:val="ListBullet"/>
        <w:ind w:left="360" w:hanging="360"/>
      </w:pPr>
      <w:r>
        <w:rPr>
          <w:rFonts w:ascii="Calibri" w:hAnsi="Calibri"/>
          <w:b/>
          <w:color w:val="525866"/>
          <w:sz w:val="22"/>
        </w:rPr>
        <w:t xml:space="preserve">Morgan Stanley U.S. Financials Conference (June 10, 2026): </w:t>
      </w:r>
      <w:r>
        <w:rPr>
          <w:rFonts w:ascii="Calibri" w:hAnsi="Calibri"/>
          <w:color w:val="525866"/>
          <w:sz w:val="22"/>
        </w:rPr>
        <w:t>CFO John Woods provided unusually specific and positive intra-quarter commentary, including the “low-teens % YoY” revenue guidance and confirmation that NII, deposits, and FX client volumes are all tracking better than expected. This was the most significant news event since Q1 earnings.</w:t>
      </w:r>
    </w:p>
    <w:p>
      <w:pPr>
        <w:pStyle w:val="ListBullet"/>
        <w:ind w:left="360" w:hanging="360"/>
      </w:pPr>
      <w:r>
        <w:rPr>
          <w:rFonts w:ascii="Calibri" w:hAnsi="Calibri"/>
          <w:b/>
          <w:color w:val="525866"/>
          <w:sz w:val="22"/>
        </w:rPr>
        <w:t xml:space="preserve">Bernstein Strategic Decisions Conference (May 27, 2026): </w:t>
      </w:r>
      <w:r>
        <w:rPr>
          <w:rFonts w:ascii="Calibri" w:hAnsi="Calibri"/>
          <w:color w:val="525866"/>
          <w:sz w:val="22"/>
        </w:rPr>
        <w:t>STT management spoke at the Bernstein conference, providing additional color on the strategic roadmap including the Alpha platform, digital assets/tokenization, and the Apex FinTech wealth services build-out.</w:t>
      </w:r>
    </w:p>
    <w:p>
      <w:pPr>
        <w:pStyle w:val="ListBullet"/>
        <w:ind w:left="360" w:hanging="360"/>
      </w:pPr>
      <w:r>
        <w:rPr>
          <w:rFonts w:ascii="Calibri" w:hAnsi="Calibri"/>
          <w:b/>
          <w:color w:val="525866"/>
          <w:sz w:val="22"/>
        </w:rPr>
        <w:t xml:space="preserve">2026 Annual Meeting of Shareholders (May 15, 2026): </w:t>
      </w:r>
      <w:r>
        <w:rPr>
          <w:rFonts w:ascii="Calibri" w:hAnsi="Calibri"/>
          <w:color w:val="525866"/>
          <w:sz w:val="22"/>
        </w:rPr>
        <w:t>Routine annual meeting; no material governance changes reported.</w:t>
      </w:r>
    </w:p>
    <w:p>
      <w:pPr>
        <w:pStyle w:val="ListBullet"/>
        <w:ind w:left="360" w:hanging="360"/>
      </w:pPr>
      <w:r>
        <w:rPr>
          <w:rFonts w:ascii="Calibri" w:hAnsi="Calibri"/>
          <w:b/>
          <w:color w:val="525866"/>
          <w:sz w:val="22"/>
        </w:rPr>
        <w:t xml:space="preserve">July Investor Event (Upcoming): </w:t>
      </w:r>
      <w:r>
        <w:rPr>
          <w:rFonts w:ascii="Calibri" w:hAnsi="Calibri"/>
          <w:color w:val="525866"/>
          <w:sz w:val="22"/>
        </w:rPr>
        <w:t>Management confirmed a July investor event to share multi-year framework on pre-tax margin and ROTCE targets. This is the most significant near-term catalyst — if medium-term ROTCE targets are set in the mid-20s (vs. current ~21% trailing), it could drive further multiple expansion.</w:t>
      </w:r>
    </w:p>
    <w:p>
      <w:pPr>
        <w:pStyle w:val="ListBullet"/>
        <w:ind w:left="360" w:hanging="360"/>
      </w:pPr>
      <w:r>
        <w:rPr>
          <w:rFonts w:ascii="Calibri" w:hAnsi="Calibri"/>
          <w:b/>
          <w:color w:val="525866"/>
          <w:sz w:val="22"/>
        </w:rPr>
        <w:t xml:space="preserve">Basel III / GSIB Surcharge Re-Proposal: </w:t>
      </w:r>
      <w:r>
        <w:rPr>
          <w:rFonts w:ascii="Calibri" w:hAnsi="Calibri"/>
          <w:color w:val="525866"/>
          <w:sz w:val="22"/>
        </w:rPr>
        <w:t>Management views the March 2026 re-proposal as net positive for RWA, with credit RWA benefits expected to more than offset operational RWA increases. The GSIB surcharge methodology changes are expected to solidify STT’s position at the lowest GSIB surcharge floor — a positive for capital deployment capacity.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Q1 2026 earnings have been sales — no open-market purchases — though the majority appear to be pre-planned 10b5-1 transactions and are not necessarily bearish signals given the stock’s sharp rally.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10b5-1 Plan?</w:t>
            </w:r>
          </w:p>
        </w:tc>
        <w:tc>
          <w:tcPr>
            <w:tcW w:type="dxa" w:w="1234"/>
            <w:shd w:val="clear" w:color="auto" w:fill="3B4259"/>
          </w:tcPr>
          <w:p>
            <w:r>
              <w:rPr>
                <w:rFonts w:ascii="Calibri" w:hAnsi="Calibri"/>
                <w:b/>
                <w:color w:val="FFFFFF"/>
                <w:sz w:val="22"/>
              </w:rPr>
              <w:t>Shares Owned After</w:t>
            </w:r>
          </w:p>
        </w:tc>
      </w:tr>
      <w:tr>
        <w:tc>
          <w:tcPr>
            <w:tcW w:type="dxa" w:w="1234"/>
          </w:tcPr>
          <w:p>
            <w:r>
              <w:rPr>
                <w:rFonts w:ascii="Calibri" w:hAnsi="Calibri"/>
                <w:sz w:val="22"/>
              </w:rPr>
              <w:t>Ronald P. O’Hanley</w:t>
            </w:r>
          </w:p>
        </w:tc>
        <w:tc>
          <w:tcPr>
            <w:tcW w:type="dxa" w:w="1234"/>
          </w:tcPr>
          <w:p>
            <w:r>
              <w:rPr>
                <w:rFonts w:ascii="Calibri" w:hAnsi="Calibri"/>
                <w:sz w:val="22"/>
              </w:rPr>
              <w:t>Chairman, CEO &amp; President</w:t>
            </w:r>
          </w:p>
        </w:tc>
        <w:tc>
          <w:tcPr>
            <w:tcW w:type="dxa" w:w="1234"/>
          </w:tcPr>
          <w:p>
            <w:r>
              <w:rPr>
                <w:rFonts w:ascii="Calibri" w:hAnsi="Calibri"/>
                <w:sz w:val="22"/>
              </w:rPr>
              <w:t>May 26, 2026</w:t>
            </w:r>
          </w:p>
        </w:tc>
        <w:tc>
          <w:tcPr>
            <w:tcW w:type="dxa" w:w="1234"/>
          </w:tcPr>
          <w:p>
            <w:r>
              <w:rPr>
                <w:rFonts w:ascii="Calibri" w:hAnsi="Calibri"/>
                <w:b/>
                <w:color w:val="E5484D"/>
                <w:sz w:val="22"/>
              </w:rPr>
              <w:t>Sale (Disposition)</w:t>
            </w:r>
          </w:p>
        </w:tc>
        <w:tc>
          <w:tcPr>
            <w:tcW w:type="dxa" w:w="1234"/>
          </w:tcPr>
          <w:p>
            <w:r>
              <w:rPr>
                <w:rFonts w:ascii="Calibri" w:hAnsi="Calibri"/>
                <w:sz w:val="22"/>
              </w:rPr>
              <w:t>14,553</w:t>
            </w:r>
          </w:p>
        </w:tc>
        <w:tc>
          <w:tcPr>
            <w:tcW w:type="dxa" w:w="1234"/>
          </w:tcPr>
          <w:p>
            <w:r>
              <w:rPr>
                <w:rFonts w:ascii="Calibri" w:hAnsi="Calibri"/>
                <w:sz w:val="22"/>
              </w:rPr>
              <w:t>Yes</w:t>
            </w:r>
          </w:p>
        </w:tc>
        <w:tc>
          <w:tcPr>
            <w:tcW w:type="dxa" w:w="1234"/>
          </w:tcPr>
          <w:p>
            <w:r>
              <w:rPr>
                <w:rFonts w:ascii="Calibri" w:hAnsi="Calibri"/>
                <w:sz w:val="22"/>
              </w:rPr>
              <w:t>255,512</w:t>
            </w:r>
          </w:p>
        </w:tc>
      </w:tr>
      <w:tr>
        <w:tc>
          <w:tcPr>
            <w:tcW w:type="dxa" w:w="1234"/>
          </w:tcPr>
          <w:p>
            <w:r>
              <w:rPr>
                <w:rFonts w:ascii="Calibri" w:hAnsi="Calibri"/>
                <w:sz w:val="22"/>
              </w:rPr>
              <w:t>W. Bradford Hu</w:t>
            </w:r>
          </w:p>
        </w:tc>
        <w:tc>
          <w:tcPr>
            <w:tcW w:type="dxa" w:w="1234"/>
          </w:tcPr>
          <w:p>
            <w:r>
              <w:rPr>
                <w:rFonts w:ascii="Calibri" w:hAnsi="Calibri"/>
                <w:sz w:val="22"/>
              </w:rPr>
              <w:t>EVP &amp; Chief Risk Officer</w:t>
            </w:r>
          </w:p>
        </w:tc>
        <w:tc>
          <w:tcPr>
            <w:tcW w:type="dxa" w:w="1234"/>
          </w:tcPr>
          <w:p>
            <w:r>
              <w:rPr>
                <w:rFonts w:ascii="Calibri" w:hAnsi="Calibri"/>
                <w:sz w:val="22"/>
              </w:rPr>
              <w:t>May 26, 2026</w:t>
            </w:r>
          </w:p>
        </w:tc>
        <w:tc>
          <w:tcPr>
            <w:tcW w:type="dxa" w:w="1234"/>
          </w:tcPr>
          <w:p>
            <w:r>
              <w:rPr>
                <w:rFonts w:ascii="Calibri" w:hAnsi="Calibri"/>
                <w:b/>
                <w:color w:val="E5484D"/>
                <w:sz w:val="22"/>
              </w:rPr>
              <w:t>Sale (Disposition)</w:t>
            </w:r>
          </w:p>
        </w:tc>
        <w:tc>
          <w:tcPr>
            <w:tcW w:type="dxa" w:w="1234"/>
          </w:tcPr>
          <w:p>
            <w:r>
              <w:rPr>
                <w:rFonts w:ascii="Calibri" w:hAnsi="Calibri"/>
                <w:sz w:val="22"/>
              </w:rPr>
              <w:t>9,212</w:t>
            </w:r>
          </w:p>
        </w:tc>
        <w:tc>
          <w:tcPr>
            <w:tcW w:type="dxa" w:w="1234"/>
          </w:tcPr>
          <w:p>
            <w:r>
              <w:rPr>
                <w:rFonts w:ascii="Calibri" w:hAnsi="Calibri"/>
                <w:sz w:val="22"/>
              </w:rPr>
              <w:t>Yes</w:t>
            </w:r>
          </w:p>
        </w:tc>
        <w:tc>
          <w:tcPr>
            <w:tcW w:type="dxa" w:w="1234"/>
          </w:tcPr>
          <w:p>
            <w:r>
              <w:rPr>
                <w:rFonts w:ascii="Calibri" w:hAnsi="Calibri"/>
                <w:sz w:val="22"/>
              </w:rPr>
              <w:t>59,552</w:t>
            </w:r>
          </w:p>
        </w:tc>
      </w:tr>
      <w:tr>
        <w:tc>
          <w:tcPr>
            <w:tcW w:type="dxa" w:w="1234"/>
          </w:tcPr>
          <w:p>
            <w:r>
              <w:rPr>
                <w:rFonts w:ascii="Calibri" w:hAnsi="Calibri"/>
                <w:sz w:val="22"/>
              </w:rPr>
              <w:t>Kathryn M. Horgan</w:t>
            </w:r>
          </w:p>
        </w:tc>
        <w:tc>
          <w:tcPr>
            <w:tcW w:type="dxa" w:w="1234"/>
          </w:tcPr>
          <w:p>
            <w:r>
              <w:rPr>
                <w:rFonts w:ascii="Calibri" w:hAnsi="Calibri"/>
                <w:sz w:val="22"/>
              </w:rPr>
              <w:t>Executive Vice President</w:t>
            </w:r>
          </w:p>
        </w:tc>
        <w:tc>
          <w:tcPr>
            <w:tcW w:type="dxa" w:w="1234"/>
          </w:tcPr>
          <w:p>
            <w:r>
              <w:rPr>
                <w:rFonts w:ascii="Calibri" w:hAnsi="Calibri"/>
                <w:sz w:val="22"/>
              </w:rPr>
              <w:t>June 11, 2026</w:t>
            </w:r>
          </w:p>
        </w:tc>
        <w:tc>
          <w:tcPr>
            <w:tcW w:type="dxa" w:w="1234"/>
          </w:tcPr>
          <w:p>
            <w:r>
              <w:rPr>
                <w:rFonts w:ascii="Calibri" w:hAnsi="Calibri"/>
                <w:b/>
                <w:color w:val="E5484D"/>
                <w:sz w:val="22"/>
              </w:rPr>
              <w:t>Sale (Disposition)</w:t>
            </w:r>
          </w:p>
        </w:tc>
        <w:tc>
          <w:tcPr>
            <w:tcW w:type="dxa" w:w="1234"/>
          </w:tcPr>
          <w:p>
            <w:r>
              <w:rPr>
                <w:rFonts w:ascii="Calibri" w:hAnsi="Calibri"/>
                <w:sz w:val="22"/>
              </w:rPr>
              <w:t>5,500</w:t>
            </w:r>
          </w:p>
        </w:tc>
        <w:tc>
          <w:tcPr>
            <w:tcW w:type="dxa" w:w="1234"/>
          </w:tcPr>
          <w:p>
            <w:r>
              <w:rPr>
                <w:rFonts w:ascii="Calibri" w:hAnsi="Calibri"/>
                <w:sz w:val="22"/>
              </w:rPr>
              <w:t>Yes</w:t>
            </w:r>
          </w:p>
        </w:tc>
        <w:tc>
          <w:tcPr>
            <w:tcW w:type="dxa" w:w="1234"/>
          </w:tcPr>
          <w:p>
            <w:r>
              <w:rPr>
                <w:rFonts w:ascii="Calibri" w:hAnsi="Calibri"/>
                <w:sz w:val="22"/>
              </w:rPr>
              <w:t>108,694</w:t>
            </w:r>
          </w:p>
        </w:tc>
      </w:tr>
      <w:tr>
        <w:tc>
          <w:tcPr>
            <w:tcW w:type="dxa" w:w="1234"/>
          </w:tcPr>
          <w:p>
            <w:r>
              <w:rPr>
                <w:rFonts w:ascii="Calibri" w:hAnsi="Calibri"/>
                <w:sz w:val="22"/>
              </w:rPr>
              <w:t>Elizabeth Schaefer</w:t>
            </w:r>
          </w:p>
        </w:tc>
        <w:tc>
          <w:tcPr>
            <w:tcW w:type="dxa" w:w="1234"/>
          </w:tcPr>
          <w:p>
            <w:r>
              <w:rPr>
                <w:rFonts w:ascii="Calibri" w:hAnsi="Calibri"/>
                <w:sz w:val="22"/>
              </w:rPr>
              <w:t>SVP, Chief Accounting Officer</w:t>
            </w:r>
          </w:p>
        </w:tc>
        <w:tc>
          <w:tcPr>
            <w:tcW w:type="dxa" w:w="1234"/>
          </w:tcPr>
          <w:p>
            <w:r>
              <w:rPr>
                <w:rFonts w:ascii="Calibri" w:hAnsi="Calibri"/>
                <w:sz w:val="22"/>
              </w:rPr>
              <w:t>May 13, 2026</w:t>
            </w:r>
          </w:p>
        </w:tc>
        <w:tc>
          <w:tcPr>
            <w:tcW w:type="dxa" w:w="1234"/>
          </w:tcPr>
          <w:p>
            <w:r>
              <w:rPr>
                <w:rFonts w:ascii="Calibri" w:hAnsi="Calibri"/>
                <w:b/>
                <w:color w:val="E5484D"/>
                <w:sz w:val="22"/>
              </w:rPr>
              <w:t>Sale (Disposition)</w:t>
            </w:r>
          </w:p>
        </w:tc>
        <w:tc>
          <w:tcPr>
            <w:tcW w:type="dxa" w:w="1234"/>
          </w:tcPr>
          <w:p>
            <w:r>
              <w:rPr>
                <w:rFonts w:ascii="Calibri" w:hAnsi="Calibri"/>
                <w:sz w:val="22"/>
              </w:rPr>
              <w:t>500</w:t>
            </w:r>
          </w:p>
        </w:tc>
        <w:tc>
          <w:tcPr>
            <w:tcW w:type="dxa" w:w="1234"/>
          </w:tcPr>
          <w:p>
            <w:r>
              <w:rPr>
                <w:rFonts w:ascii="Calibri" w:hAnsi="Calibri"/>
                <w:sz w:val="22"/>
              </w:rPr>
              <w:t>No</w:t>
            </w:r>
          </w:p>
        </w:tc>
        <w:tc>
          <w:tcPr>
            <w:tcW w:type="dxa" w:w="1234"/>
          </w:tcPr>
          <w:p>
            <w:r>
              <w:rPr>
                <w:rFonts w:ascii="Calibri" w:hAnsi="Calibri"/>
                <w:sz w:val="22"/>
              </w:rPr>
              <w:t>8,764</w:t>
            </w:r>
          </w:p>
        </w:tc>
      </w:tr>
      <w:tr>
        <w:tc>
          <w:tcPr>
            <w:tcW w:type="dxa" w:w="1234"/>
          </w:tcPr>
          <w:p>
            <w:r>
              <w:rPr>
                <w:rFonts w:ascii="Calibri" w:hAnsi="Calibri"/>
                <w:sz w:val="22"/>
              </w:rPr>
              <w:t>Michael L. Richards</w:t>
            </w:r>
          </w:p>
        </w:tc>
        <w:tc>
          <w:tcPr>
            <w:tcW w:type="dxa" w:w="1234"/>
          </w:tcPr>
          <w:p>
            <w:r>
              <w:rPr>
                <w:rFonts w:ascii="Calibri" w:hAnsi="Calibri"/>
                <w:sz w:val="22"/>
              </w:rPr>
              <w:t>EVP &amp; Chief Admin Officer</w:t>
            </w:r>
          </w:p>
        </w:tc>
        <w:tc>
          <w:tcPr>
            <w:tcW w:type="dxa" w:w="1234"/>
          </w:tcPr>
          <w:p>
            <w:r>
              <w:rPr>
                <w:rFonts w:ascii="Calibri" w:hAnsi="Calibri"/>
                <w:sz w:val="22"/>
              </w:rPr>
              <w:t>April 22, 2026</w:t>
            </w:r>
          </w:p>
        </w:tc>
        <w:tc>
          <w:tcPr>
            <w:tcW w:type="dxa" w:w="1234"/>
          </w:tcPr>
          <w:p>
            <w:r>
              <w:rPr>
                <w:rFonts w:ascii="Calibri" w:hAnsi="Calibri"/>
                <w:b/>
                <w:color w:val="E5484D"/>
                <w:sz w:val="22"/>
              </w:rPr>
              <w:t>Sale (Disposition)</w:t>
            </w:r>
          </w:p>
        </w:tc>
        <w:tc>
          <w:tcPr>
            <w:tcW w:type="dxa" w:w="1234"/>
          </w:tcPr>
          <w:p>
            <w:r>
              <w:rPr>
                <w:rFonts w:ascii="Calibri" w:hAnsi="Calibri"/>
                <w:sz w:val="22"/>
              </w:rPr>
              <w:t>3,000</w:t>
            </w:r>
          </w:p>
        </w:tc>
        <w:tc>
          <w:tcPr>
            <w:tcW w:type="dxa" w:w="1234"/>
          </w:tcPr>
          <w:p>
            <w:r>
              <w:rPr>
                <w:rFonts w:ascii="Calibri" w:hAnsi="Calibri"/>
                <w:sz w:val="22"/>
              </w:rPr>
              <w:t>No</w:t>
            </w:r>
          </w:p>
        </w:tc>
        <w:tc>
          <w:tcPr>
            <w:tcW w:type="dxa" w:w="1234"/>
          </w:tcPr>
          <w:p>
            <w:r>
              <w:rPr>
                <w:rFonts w:ascii="Calibri" w:hAnsi="Calibri"/>
                <w:sz w:val="22"/>
              </w:rPr>
              <w:t>43,522</w:t>
            </w:r>
          </w:p>
        </w:tc>
      </w:tr>
      <w:tr>
        <w:tc>
          <w:tcPr>
            <w:tcW w:type="dxa" w:w="1234"/>
          </w:tcPr>
          <w:p>
            <w:r>
              <w:rPr>
                <w:rFonts w:ascii="Calibri" w:hAnsi="Calibri"/>
                <w:sz w:val="22"/>
              </w:rPr>
              <w:t>Mostapha Tahiri</w:t>
            </w:r>
          </w:p>
        </w:tc>
        <w:tc>
          <w:tcPr>
            <w:tcW w:type="dxa" w:w="1234"/>
          </w:tcPr>
          <w:p>
            <w:r>
              <w:rPr>
                <w:rFonts w:ascii="Calibri" w:hAnsi="Calibri"/>
                <w:sz w:val="22"/>
              </w:rPr>
              <w:t>EVP &amp; COO</w:t>
            </w:r>
          </w:p>
        </w:tc>
        <w:tc>
          <w:tcPr>
            <w:tcW w:type="dxa" w:w="1234"/>
          </w:tcPr>
          <w:p>
            <w:r>
              <w:rPr>
                <w:rFonts w:ascii="Calibri" w:hAnsi="Calibri"/>
                <w:sz w:val="22"/>
              </w:rPr>
              <w:t>April 22, 2026</w:t>
            </w:r>
          </w:p>
        </w:tc>
        <w:tc>
          <w:tcPr>
            <w:tcW w:type="dxa" w:w="1234"/>
          </w:tcPr>
          <w:p>
            <w:r>
              <w:rPr>
                <w:rFonts w:ascii="Calibri" w:hAnsi="Calibri"/>
                <w:b/>
                <w:color w:val="E5484D"/>
                <w:sz w:val="22"/>
              </w:rPr>
              <w:t>Sale (Disposition)</w:t>
            </w:r>
          </w:p>
        </w:tc>
        <w:tc>
          <w:tcPr>
            <w:tcW w:type="dxa" w:w="1234"/>
          </w:tcPr>
          <w:p>
            <w:r>
              <w:rPr>
                <w:rFonts w:ascii="Calibri" w:hAnsi="Calibri"/>
                <w:sz w:val="22"/>
              </w:rPr>
              <w:t>9,611</w:t>
            </w:r>
          </w:p>
        </w:tc>
        <w:tc>
          <w:tcPr>
            <w:tcW w:type="dxa" w:w="1234"/>
          </w:tcPr>
          <w:p>
            <w:r>
              <w:rPr>
                <w:rFonts w:ascii="Calibri" w:hAnsi="Calibri"/>
                <w:sz w:val="22"/>
              </w:rPr>
              <w:t>No</w:t>
            </w:r>
          </w:p>
        </w:tc>
        <w:tc>
          <w:tcPr>
            <w:tcW w:type="dxa" w:w="1234"/>
          </w:tcPr>
          <w:p>
            <w:r>
              <w:rPr>
                <w:rFonts w:ascii="Calibri" w:hAnsi="Calibri"/>
                <w:sz w:val="22"/>
              </w:rPr>
              <w:t>64,642</w:t>
            </w:r>
          </w:p>
        </w:tc>
      </w:tr>
    </w:tbl>
    <w:p>
      <w:r>
        <w:rPr>
          <w:rFonts w:ascii="Calibri" w:hAnsi="Calibri"/>
          <w:i/>
          <w:color w:val="525866"/>
          <w:sz w:val="22"/>
        </w:rPr>
        <w:t>Source: SEC Form 4 Filings / Insider Transaction Data.</w:t>
      </w:r>
    </w:p>
    <w:p>
      <w:r>
        <w:rPr>
          <w:rFonts w:ascii="Calibri" w:hAnsi="Calibri"/>
          <w:b/>
          <w:color w:val="525866"/>
          <w:sz w:val="22"/>
        </w:rPr>
        <w:t xml:space="preserve">Analysis: </w:t>
      </w:r>
      <w:r>
        <w:rPr>
          <w:rFonts w:ascii="Calibri" w:hAnsi="Calibri"/>
          <w:color w:val="525866"/>
          <w:sz w:val="22"/>
        </w:rPr>
        <w:t xml:space="preserve">All six insider transactions since Q1 2026 earnings have been sales, with no open-market purchases. However, the three largest transactions (CEO O’Hanley, CRO Hu, and EVP Horgan) were all executed under pre-planned 10b5-1 trading plans, which are set up in advance and are not discretionary signals about management’s near-term view on the stock. The CEO retains a substantial 255,512 shares after the sale, representing continued meaningful alignment with shareholders. The two non-10b5-1 sales (Richards and Tahiri in April, immediately post-Q1 earnings) are more notable but relatively small in size. </w:t>
      </w:r>
    </w:p>
    <w:p>
      <w:r>
        <w:rPr>
          <w:rFonts w:ascii="Calibri" w:hAnsi="Calibri"/>
          <w:color w:val="525866"/>
          <w:sz w:val="22"/>
        </w:rPr>
        <w:t xml:space="preserve">Overall, the insider activity is </w:t>
      </w:r>
      <w:r>
        <w:rPr>
          <w:rFonts w:ascii="Calibri" w:hAnsi="Calibri"/>
          <w:b/>
          <w:color w:val="525866"/>
          <w:sz w:val="22"/>
        </w:rPr>
        <w:t>mildly cautionary</w:t>
      </w:r>
      <w:r>
        <w:rPr>
          <w:rFonts w:ascii="Calibri" w:hAnsi="Calibri"/>
          <w:color w:val="525866"/>
          <w:sz w:val="22"/>
        </w:rPr>
        <w:t xml:space="preserve"> in the sense that no insiders have purchased shares despite the stock’s strong performance, but the 10b5-1 nature of the majority of sales significantly reduces the bearish signal. The absence of any open-market purchases at current levels is worth monitoring but is not a red flag given the stock’s sharp rally and the pre-planned nature of most sales.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