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fc-earnings-predictions--2026-07-17"/>
    <w:p>
      <w:pPr>
        <w:pStyle w:val="Heading1"/>
      </w:pPr>
      <w:r>
        <w:t xml:space="preserve">TFC Earnings Predictions — 2026-07-17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~$1.12 vs. cons $1.08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income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3.65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3.62B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Noninterest (fee) income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1.63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1.58B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NII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~+2-3% vs. cons ~+2.5%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noninterest income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~+10% (HSD-to-low-double) vs. cons ~+8%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Q2/2H NIM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~3.02% stable, 2H expansion vs. cons ~3.02% (Q2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buyback program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5.0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 </m:t>
              </m:r>
            </m:oMath>
            <w:r>
              <w:t xml:space="preserve">1.2B Q2) vs. cons ~$5.0B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expense growth / operating leverage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~+1.75% opex vs. cons ~+1.75%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ROTCE framework / CEO continuity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14% '26 / 15% '27 / 16-18% LT vs. cons ~14% (FY2026-27)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A modest EPS beat is likely, but its quality is low — driven by capital-markets/trading and buyback-reduced share count rather than NII, where FY guide stays capped at +2-3% (no rate cuts, deposit-cost creep). With the stock already up ~9% since the CEO news and sitting near 52-week highs ($53.27) priced for good news, a clean-but-not-blowout print plus a continuity-only handoff narrative leaves little upside fuel. Out-period math (trading normalization, flat-to-down sequential fees guide, NIM ramp deferred to 2H/2027) caps positive revisions, so an initial pop tends to give back as estimates hold flat rather than move up.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2026-07-17T00:03:50Z</dcterms:created>
  <dcterms:modified xsi:type="dcterms:W3CDTF">2026-07-17T00:03:50Z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