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TFC (Truist Financial) to build this earnings preview. Let me start by gathering recent filings, earnings, and news.Let me read the most recent quarter's materials and get price context.Let me get more detail on the CEO transition and any recent analyst positioning.I have what I need. Here's the earnings preview.</w:t>
      </w:r>
    </w:p>
    <w:p>
      <w:r>
        <w:pict>
          <v:rect style="width:0;height:1.5pt" o:hralign="center" o:hrstd="t" o:hr="t"/>
        </w:pict>
      </w:r>
    </w:p>
    <w:bookmarkStart w:id="22" w:name="X8611bc35ceb789e64f6096484828279ed28b893"/>
    <w:p>
      <w:pPr>
        <w:pStyle w:val="Heading1"/>
      </w:pPr>
      <w:r>
        <w:t xml:space="preserve">Truist Financial (TFC) — Q2 2026 Earnings Preview</w:t>
      </w:r>
    </w:p>
    <w:bookmarkStart w:id="9" w:name="Xcecce99f9b311b9664ca9357b95c54c8bf219e7"/>
    <w:p>
      <w:pPr>
        <w:pStyle w:val="Heading3"/>
      </w:pPr>
      <w:r>
        <w:t xml:space="preserve">Reports before market open, Friday, July 17, 2026 | 2026Q2 Earnings Call</w:t>
      </w:r>
    </w:p>
    <w:bookmarkEnd w:id="9"/>
    <w:bookmarkStart w:id="10" w:name="the-setup-in-one-line"/>
    <w:p>
      <w:pPr>
        <w:pStyle w:val="Heading2"/>
      </w:pPr>
      <w:r>
        <w:t xml:space="preserve">The Setup in One Line</w:t>
      </w:r>
    </w:p>
    <w:p>
      <w:pPr>
        <w:pStyle w:val="FirstParagraph"/>
      </w:pPr>
      <w:r>
        <w:t xml:space="preserve">TFC heads into Q2 with a rising stock, a fresh multi-year profitability roadmap, and a CEO handoff just weeks away — so this print is less about the headline beat/miss and more about whether the "self-help" story (fee momentum, positive operating leverage, aggressive buybacks) stays intact into the leadership transition.</w:t>
      </w:r>
    </w:p>
    <w:p>
      <w:r>
        <w:pict>
          <v:rect style="width:0;height:1.5pt" o:hralign="center" o:hrstd="t" o:hr="t"/>
        </w:pict>
      </w:r>
    </w:p>
    <w:bookmarkEnd w:id="10"/>
    <w:bookmarkStart w:id="11" w:name="X7bed6ecf1413acb3b659cfb1f52d1dfd25365a8"/>
    <w:p>
      <w:pPr>
        <w:pStyle w:val="Heading2"/>
      </w:pPr>
      <w:r>
        <w:t xml:space="preserve">Consensus &amp; What Management Told You to Expect</w:t>
      </w:r>
    </w:p>
    <w:p>
      <w:pPr>
        <w:pStyle w:val="FirstParagraph"/>
      </w:pPr>
      <w:r>
        <w:t xml:space="preserve">Street estimates land at a profit of $1.08 per share on revenue of $5.24 billion for the quarter. That's essentially flat sequentially — Q1 2026 delivered GAAP net income available to common shareholders of $1.4 billion or $1.09 per diluted share, up 25% versus the first quarter of 2025 — and a meaningful step-up from the year-ago quarter, when TFC posted 2Q25 diluted EPS of</w:t>
      </w:r>
      <w:r>
        <w:t xml:space="preserve"> </w:t>
      </w:r>
      <m:oMath>
        <m:r>
          <m:t>0.90</m:t>
        </m:r>
        <m:r>
          <m:rPr>
            <m:sty m:val="p"/>
          </m:rPr>
          <m:t>(</m:t>
        </m:r>
      </m:oMath>
      <w:r>
        <w:t xml:space="preserve">0.91 adjusted) on ~$5.04B of TE revenue.</w:t>
      </w:r>
    </w:p>
    <w:p>
      <w:pPr>
        <w:pStyle w:val="BodyText"/>
      </w:pPr>
      <w:r>
        <w:t xml:space="preserve">Management gave unusually specific Q2 guidance on the April call. Watch results against these self-set bars: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Q2 2026 Company Guide (from Q1 call)</w:t>
            </w:r>
          </w:p>
        </w:tc>
      </w:tr>
      <w:tr>
        <w:tc>
          <w:tcPr/>
          <w:p>
            <w:pPr>
              <w:pStyle w:val="Compact"/>
            </w:pPr>
            <w:r>
              <w:t xml:space="preserve">Total revenue</w:t>
            </w:r>
          </w:p>
        </w:tc>
        <w:tc>
          <w:tcPr/>
          <w:p>
            <w:pPr>
              <w:pStyle w:val="Compact"/>
            </w:pPr>
            <w:r>
              <w:t xml:space="preserve">Roughly stable vs. Q1's $5.2B</w:t>
            </w:r>
          </w:p>
        </w:tc>
      </w:tr>
      <w:tr>
        <w:tc>
          <w:tcPr/>
          <w:p>
            <w:pPr>
              <w:pStyle w:val="Compact"/>
            </w:pPr>
            <w:r>
              <w:t xml:space="preserve">Net interest income</w:t>
            </w:r>
          </w:p>
        </w:tc>
        <w:tc>
          <w:tcPr/>
          <w:p>
            <w:pPr>
              <w:pStyle w:val="Compact"/>
            </w:pPr>
            <w:r>
              <w:t xml:space="preserve">~+1% linked quarter (extra day + client deposits)</w:t>
            </w:r>
          </w:p>
        </w:tc>
      </w:tr>
      <w:tr>
        <w:tc>
          <w:tcPr/>
          <w:p>
            <w:pPr>
              <w:pStyle w:val="Compact"/>
            </w:pPr>
            <w:r>
              <w:t xml:space="preserve">Noninterest income</w:t>
            </w:r>
          </w:p>
        </w:tc>
        <w:tc>
          <w:tcPr/>
          <w:p>
            <w:pPr>
              <w:pStyle w:val="Compact"/>
            </w:pPr>
            <w:r>
              <w:t xml:space="preserve">~‑1% linked quarter (lower IB&amp;T, offset by card/TM/other)</w:t>
            </w:r>
          </w:p>
        </w:tc>
      </w:tr>
      <w:tr>
        <w:tc>
          <w:tcPr/>
          <w:p>
            <w:pPr>
              <w:pStyle w:val="Compact"/>
            </w:pPr>
            <w:r>
              <w:t xml:space="preserve">Noninterest expense</w:t>
            </w:r>
          </w:p>
        </w:tc>
        <w:tc>
          <w:tcPr/>
          <w:p>
            <w:pPr>
              <w:pStyle w:val="Compact"/>
            </w:pPr>
            <w:r>
              <w:t xml:space="preserve">+3–4% linked quarter off the ~$3.0B base (higher personnel)</w:t>
            </w:r>
          </w:p>
        </w:tc>
      </w:tr>
      <w:tr>
        <w:tc>
          <w:tcPr/>
          <w:p>
            <w:pPr>
              <w:pStyle w:val="Compact"/>
            </w:pPr>
            <w:r>
              <w:t xml:space="preserve">Buybacks</w:t>
            </w:r>
          </w:p>
        </w:tc>
        <w:tc>
          <w:tcPr/>
          <w:p>
            <w:pPr>
              <w:pStyle w:val="Compact"/>
            </w:pPr>
            <w:r>
              <w:t xml:space="preserve">~$1.2B targeted</w:t>
            </w:r>
          </w:p>
        </w:tc>
      </w:tr>
    </w:tbl>
    <w:p>
      <w:pPr>
        <w:pStyle w:val="BodyText"/>
      </w:pPr>
      <w:r>
        <w:t xml:space="preserve">Now looking into the second quarter of '26, we expect revenue to remain relatively stable relative to the first quarter revenue of $5.2 billion. We expect net interest income to increase approximately 1% in the second quarter primarily driven by an additional day and increased client deposit balances. On the fee side, noninterest income to decline approximately 1% linked quarter due to lower Investment Banking and Trading income, partially offset by higher other income and card and treasury management fees. On costs, Noninterest expense of $3 billion in the first quarter is expected to increase by 3% to 4% linked quarter due to higher personnel expense.</w:t>
      </w:r>
    </w:p>
    <w:p>
      <w:r>
        <w:pict>
          <v:rect style="width:0;height:1.5pt" o:hralign="center" o:hrstd="t" o:hr="t"/>
        </w:pict>
      </w:r>
    </w:p>
    <w:bookmarkEnd w:id="11"/>
    <w:bookmarkStart w:id="12" w:name="X20e959e1a926e2d0bbe53fec984a0a3e372920e"/>
    <w:p>
      <w:pPr>
        <w:pStyle w:val="Heading2"/>
      </w:pPr>
      <w:r>
        <w:t xml:space="preserve">The Big Story: New CEO, Weeks Before Handoff</w:t>
      </w:r>
    </w:p>
    <w:p>
      <w:pPr>
        <w:pStyle w:val="FirstParagraph"/>
      </w:pPr>
      <w:r>
        <w:t xml:space="preserve">This is the swing factor into the print. Incoming CEO Michael Lyons, a former Fiserv CEO and PNC veteran, will succeed current CEO Bill Rogers effective September 1 after the company announced the leadership transition in June. TFC shares have rallied approximately 9% since the CEO announcement.</w:t>
      </w:r>
    </w:p>
    <w:p>
      <w:pPr>
        <w:pStyle w:val="BodyText"/>
      </w:pPr>
      <w:r>
        <w:t xml:space="preserve">Notably, the reaction has been two-sided. Initially, TFC shares declined following the announcement of a new CEO, which dampened market speculation that the company could be an acquisition target. But the stock has since climbed to new highs on optimism about Lyons's operating track record. Wells Fargo analyst Mike Mayo called the move the "right fit, even if a little late," and rates TFC Equal Weight with a $55 price target, citing his belief that the new CEO can implement disciplined execution and improved intensity demonstrated during his tenure at PNC. However, Jefferies analyst David Chiaverini continues to see residual execution risk, particularly around loan growth.</w:t>
      </w:r>
    </w:p>
    <w:p>
      <w:pPr>
        <w:pStyle w:val="BodyText"/>
      </w:pPr>
      <w:r>
        <w:rPr>
          <w:b/>
          <w:bCs/>
        </w:rPr>
        <w:t xml:space="preserve">What to listen for:</w:t>
      </w:r>
      <w:r>
        <w:t xml:space="preserve"> </w:t>
      </w:r>
      <w:r>
        <w:t xml:space="preserve">Any change in tone on strategy, targets, or capital plans; whether Rogers/Lyons appear jointly; and reassurance that the 15% ROTCE (2027) and new 16–18% long-term framework survive the transition. On the recurring M&amp;A speculation, management was emphatic in April: M&amp;A is not a priority for Truist as we remain focused on improving our own profitability and returning capital to our shareholders.</w:t>
      </w:r>
    </w:p>
    <w:p>
      <w:r>
        <w:pict>
          <v:rect style="width:0;height:1.5pt" o:hralign="center" o:hrstd="t" o:hr="t"/>
        </w:pict>
      </w:r>
    </w:p>
    <w:bookmarkEnd w:id="12"/>
    <w:bookmarkStart w:id="13" w:name="X393497a5108f16e935ccb48ee445f76a8735011"/>
    <w:p>
      <w:pPr>
        <w:pStyle w:val="Heading2"/>
      </w:pPr>
      <w:r>
        <w:t xml:space="preserve">Net Interest Income &amp; Margin — The Pressure Point</w:t>
      </w:r>
    </w:p>
    <w:p>
      <w:pPr>
        <w:pStyle w:val="FirstParagraph"/>
      </w:pPr>
      <w:r>
        <w:t xml:space="preserve">The rate outlook is the key downgrade risk to the model. On the Q1 call, TFC trimmed its full-year NII guide: For full year 2026, we now expect net interest income to increase 2% to 3% compared with our prior expectation of 3% to 4% growth. The change in our outlook is primarily driven by our expectation that the federal funds rate will remain unchanged throughout 2026 compared with our previous expectation for two 25 basis point reductions.</w:t>
      </w:r>
    </w:p>
    <w:p>
      <w:pPr>
        <w:pStyle w:val="BodyText"/>
      </w:pPr>
      <w:r>
        <w:t xml:space="preserve">Margin was 3.02%, driven primarily by that same seasonal change in deposit mix in Q1. Management expects the net interest margin to remain relatively stable in the second quarter but the full-year average NIM to exceed 2025's 3.03%. The bigger reset: the "3-teens" NIM exit rate has slipped to 2027. 3 teens this year is not likely to happen. We will see our net interest margin continue to expand throughout the second half of the year.</w:t>
      </w:r>
    </w:p>
    <w:p>
      <w:pPr>
        <w:pStyle w:val="BodyText"/>
      </w:pPr>
      <w:r>
        <w:t xml:space="preserve">Deposit competition is the number one thing to probe. Management flagged a little bit more rotation on product... a little bit more yield seeking and rate awareness in the market across the businesses — the drivers behind the softer NII path. Any further deposit-cost creep would pressure the second-half margin ramp the story depends on.</w:t>
      </w:r>
    </w:p>
    <w:p>
      <w:r>
        <w:pict>
          <v:rect style="width:0;height:1.5pt" o:hralign="center" o:hrstd="t" o:hr="t"/>
        </w:pict>
      </w:r>
    </w:p>
    <w:bookmarkEnd w:id="13"/>
    <w:bookmarkStart w:id="14" w:name="fees-are-carrying-the-story"/>
    <w:p>
      <w:pPr>
        <w:pStyle w:val="Heading2"/>
      </w:pPr>
      <w:r>
        <w:t xml:space="preserve">Fees Are Carrying the Story</w:t>
      </w:r>
    </w:p>
    <w:p>
      <w:pPr>
        <w:pStyle w:val="FirstParagraph"/>
      </w:pPr>
      <w:r>
        <w:t xml:space="preserve">The offset to NII pressure is fee momentum, and this is where TFC has been differentiating. In Q1, Investment Banking and Trading delivered its highest quarterly revenue since 2021, driven by strength across a broad set of product areas. Management raised the full-year fee outlook to high single-digit growth in noninterest income compared with our prior expectation of mid- to high single-digit growth and now sees IB&amp;T growth potentially reaching high teens, maybe even 20% across that full line for the year, with double-digit growth in the traditional (non-trading) investment banking business.</w:t>
      </w:r>
    </w:p>
    <w:p>
      <w:pPr>
        <w:pStyle w:val="BodyText"/>
      </w:pPr>
      <w:r>
        <w:t xml:space="preserve">Because guidance calls for IB&amp;T to step</w:t>
      </w:r>
      <w:r>
        <w:t xml:space="preserve"> </w:t>
      </w:r>
      <w:r>
        <w:rPr>
          <w:i/>
          <w:iCs/>
        </w:rPr>
        <w:t xml:space="preserve">down</w:t>
      </w:r>
      <w:r>
        <w:t xml:space="preserve"> </w:t>
      </w:r>
      <w:r>
        <w:t xml:space="preserve">sequentially in Q2, watch whether the core (non-trading) banking pipeline and wealth management hold up — management frames the durability as tied to franchise connectivity: The fees from our commercial and wealth businesses were up actually substantially, and the pipelines are up substantially.</w:t>
      </w:r>
    </w:p>
    <w:p>
      <w:r>
        <w:pict>
          <v:rect style="width:0;height:1.5pt" o:hralign="center" o:hrstd="t" o:hr="t"/>
        </w:pict>
      </w:r>
    </w:p>
    <w:bookmarkEnd w:id="14"/>
    <w:bookmarkStart w:id="15" w:name="loan-growth--where-skeptics-focus"/>
    <w:p>
      <w:pPr>
        <w:pStyle w:val="Heading2"/>
      </w:pPr>
      <w:r>
        <w:t xml:space="preserve">Loan Growth — Where Skeptics Focus</w:t>
      </w:r>
    </w:p>
    <w:p>
      <w:pPr>
        <w:pStyle w:val="FirstParagraph"/>
      </w:pPr>
      <w:r>
        <w:t xml:space="preserve">Jefferies' execution concern is specifically loan growth, so the balance-sheet trajectory matters. TFC reaffirmed average loan growth of approximately 3% to 4% in 2026, driven by commercial and specialty consumer, with deliberate restraint in lower-return categories. Wholesale is the engine — average wholesale loans and deposits increased 9% and 2%, respectively, versus the first quarter of 2025 — while consumer is intentionally throttled in areas like indirect auto where spreads have tightened. Look for confirmation that commercial pipelines and expansion markets (Texas, Ohio, Pennsylvania) keep momentum.</w:t>
      </w:r>
    </w:p>
    <w:p>
      <w:r>
        <w:pict>
          <v:rect style="width:0;height:1.5pt" o:hralign="center" o:hrstd="t" o:hr="t"/>
        </w:pict>
      </w:r>
    </w:p>
    <w:bookmarkEnd w:id="15"/>
    <w:bookmarkStart w:id="16" w:name="expenses--operating-leverage"/>
    <w:p>
      <w:pPr>
        <w:pStyle w:val="Heading2"/>
      </w:pPr>
      <w:r>
        <w:t xml:space="preserve">Expenses &amp; Operating Leverage</w:t>
      </w:r>
    </w:p>
    <w:p>
      <w:pPr>
        <w:pStyle w:val="FirstParagraph"/>
      </w:pPr>
      <w:r>
        <w:t xml:space="preserve">The efficiency narrative is central to the ROTCE march. Q1 produced 250 basis points of year-over-year positive operating leverage in the quarter. Full-year expense guidance sits at approximately 1.75% in 2026. Remember the Q2 optics: expenses are guided</w:t>
      </w:r>
      <w:r>
        <w:t xml:space="preserve"> </w:t>
      </w:r>
      <w:r>
        <w:rPr>
          <w:i/>
          <w:iCs/>
        </w:rPr>
        <w:t xml:space="preserve">up 3–4% sequentially</w:t>
      </w:r>
      <w:r>
        <w:t xml:space="preserve"> </w:t>
      </w:r>
      <w:r>
        <w:t xml:space="preserve">on higher personnel costs, so the linked-quarter efficiency ratio may look worse even if the full-year plan is on track. AI is the increasingly emphasized long-term lever for productivity.</w:t>
      </w:r>
    </w:p>
    <w:p>
      <w:r>
        <w:pict>
          <v:rect style="width:0;height:1.5pt" o:hralign="center" o:hrstd="t" o:hr="t"/>
        </w:pict>
      </w:r>
    </w:p>
    <w:bookmarkEnd w:id="16"/>
    <w:bookmarkStart w:id="17" w:name="credit--the-ndfi-question"/>
    <w:p>
      <w:pPr>
        <w:pStyle w:val="Heading2"/>
      </w:pPr>
      <w:r>
        <w:t xml:space="preserve">Credit &amp; the NDFI Question</w:t>
      </w:r>
    </w:p>
    <w:p>
      <w:pPr>
        <w:pStyle w:val="FirstParagraph"/>
      </w:pPr>
      <w:r>
        <w:t xml:space="preserve">Asset quality remains benign but is worth monitoring. Full-year net charge-offs are guided to about 55 basis points in 2026; Q1 came in at 61 basis points (2Q25 was 51 bps). Note the indirect-auto nonaccrual reclassification that mechanically lifts reported consumer NPLs — there's no impact to the cash flows or loss expectations over the lifetime earnings of these loans.</w:t>
      </w:r>
    </w:p>
    <w:p>
      <w:pPr>
        <w:pStyle w:val="BodyText"/>
      </w:pPr>
      <w:r>
        <w:t xml:space="preserve">With the industry focused on non-depository financial institution (NDFI) and private-credit exposure, TFC pre-empted the topic: As of March 31, loans classified as NDFI represented 12% of total loans, with private credit (BDCs, middle-market loan funds) at about 1% of our loan portfolio. Expect follow-up questions here.</w:t>
      </w:r>
    </w:p>
    <w:p>
      <w:r>
        <w:pict>
          <v:rect style="width:0;height:1.5pt" o:hralign="center" o:hrstd="t" o:hr="t"/>
        </w:pict>
      </w:r>
    </w:p>
    <w:bookmarkEnd w:id="17"/>
    <w:bookmarkStart w:id="18" w:name="capital--buybacks--a-key-positive"/>
    <w:p>
      <w:pPr>
        <w:pStyle w:val="Heading2"/>
      </w:pPr>
      <w:r>
        <w:t xml:space="preserve">Capital &amp; Buybacks — A Key Positive</w:t>
      </w:r>
    </w:p>
    <w:p>
      <w:pPr>
        <w:pStyle w:val="FirstParagraph"/>
      </w:pPr>
      <w:r>
        <w:t xml:space="preserve">Capital return is a clear tailwind and a reason the stock has re-rated. TFC raised its repurchase plan to approximately $5 billion in 2026, compared with our previous expectation for</w:t>
      </w:r>
      <w:r>
        <w:t xml:space="preserve"> </w:t>
      </w:r>
      <m:oMath>
        <m:r>
          <m:t>4</m:t>
        </m:r>
        <m:r>
          <m:t>b</m:t>
        </m:r>
        <m:r>
          <m:t>i</m:t>
        </m:r>
        <m:r>
          <m:t>l</m:t>
        </m:r>
        <m:r>
          <m:t>l</m:t>
        </m:r>
        <m:r>
          <m:t>i</m:t>
        </m:r>
        <m:r>
          <m:t>o</m:t>
        </m:r>
        <m:r>
          <m:t>n</m:t>
        </m:r>
        <m:r>
          <m:rPr>
            <m:sty m:val="p"/>
          </m:rPr>
          <m:t>,</m:t>
        </m:r>
        <m:r>
          <m:t>t</m:t>
        </m:r>
        <m:r>
          <m:t>a</m:t>
        </m:r>
        <m:r>
          <m:t>r</m:t>
        </m:r>
        <m:r>
          <m:t>g</m:t>
        </m:r>
        <m:r>
          <m:t>e</m:t>
        </m:r>
        <m:r>
          <m:t>t</m:t>
        </m:r>
        <m:r>
          <m:t>i</m:t>
        </m:r>
        <m:r>
          <m:t>n</m:t>
        </m:r>
        <m:r>
          <m:t>g</m:t>
        </m:r>
        <m:r>
          <m:t> </m:t>
        </m:r>
      </m:oMath>
      <w:r>
        <w:t xml:space="preserve">1.2B in Q2, atop a CET1 of 10.8%. Basel III endgame is a further optionality lever: we estimate that risk-weighted assets could decline by 9% under the revised standardized approach and by 11% under ERBA. Any upsizing of the buyback pace or commentary on durability into 2027–28 would be well received.</w:t>
      </w:r>
    </w:p>
    <w:p>
      <w:r>
        <w:pict>
          <v:rect style="width:0;height:1.5pt" o:hralign="center" o:hrstd="t" o:hr="t"/>
        </w:pict>
      </w:r>
    </w:p>
    <w:bookmarkEnd w:id="18"/>
    <w:bookmarkStart w:id="19" w:name="the-profitability-framework-to-reaffirm"/>
    <w:p>
      <w:pPr>
        <w:pStyle w:val="Heading2"/>
      </w:pPr>
      <w:r>
        <w:t xml:space="preserve">The Profitability Framework to Reaffirm</w:t>
      </w:r>
    </w:p>
    <w:p>
      <w:pPr>
        <w:pStyle w:val="FirstParagraph"/>
      </w:pPr>
      <w:r>
        <w:t xml:space="preserve">The April call introduced a new long-term target that the market is now partly pricing in. Q1 ROTCE was 13.8%, and management laid out a long-term ROTCE target of 16% to 18% on top of the existing 14% ROTCE target in '26 and... 15% ROTCE target in 2027. Critically, the bottom line was held despite the NII cut: our overall earnings expectations for 2026 remain unchanged. The key question is whether the incoming CEO endorses this framework.</w:t>
      </w:r>
    </w:p>
    <w:p>
      <w:r>
        <w:pict>
          <v:rect style="width:0;height:1.5pt" o:hralign="center" o:hrstd="t" o:hr="t"/>
        </w:pict>
      </w:r>
    </w:p>
    <w:bookmarkEnd w:id="19"/>
    <w:bookmarkStart w:id="20" w:name="stock-setup--priced-for-good-news"/>
    <w:p>
      <w:pPr>
        <w:pStyle w:val="Heading2"/>
      </w:pPr>
      <w:r>
        <w:t xml:space="preserve">Stock Setup — Priced for Good News</w:t>
      </w:r>
    </w:p>
    <w:p>
      <w:pPr>
        <w:pStyle w:val="FirstParagraph"/>
      </w:pPr>
      <w:r>
        <w:t xml:space="preserve">TFC has run hard into the print. Shares closed at **</w:t>
      </w:r>
      <m:oMath>
        <m:r>
          <m:t>53.27</m:t>
        </m:r>
        <m:r>
          <m:t>o</m:t>
        </m:r>
        <m:r>
          <m:t>n</m:t>
        </m:r>
        <m:r>
          <m:t>7</m:t>
        </m:r>
        <m:r>
          <m:rPr>
            <m:sty m:val="p"/>
          </m:rPr>
          <m:t>/</m:t>
        </m:r>
        <m:r>
          <m:t>16</m:t>
        </m:r>
        <m:r>
          <m:rPr>
            <m:sty m:val="p"/>
          </m:rPr>
          <m:t>*</m:t>
        </m:r>
        <m:r>
          <m:rPr>
            <m:sty m:val="p"/>
          </m:rPr>
          <m:t>*</m:t>
        </m:r>
        <m:r>
          <m:rPr>
            <m:sty m:val="p"/>
          </m:rPr>
          <m:t>,</m:t>
        </m:r>
        <m:r>
          <m:t>u</m:t>
        </m:r>
        <m:r>
          <m:t>p</m:t>
        </m:r>
        <m:r>
          <m:t>f</m:t>
        </m:r>
        <m:r>
          <m:t>r</m:t>
        </m:r>
        <m:r>
          <m:t>o</m:t>
        </m:r>
        <m:r>
          <m:t>m</m:t>
        </m:r>
        <m:r>
          <m:t> </m:t>
        </m:r>
      </m:oMath>
      <w:r>
        <w:t xml:space="preserve">46–47 in early April and climbing steadily through the CEO announcement — near 52-week highs and above Mayo's $55 target proximity. That leaves a demanding bar: with the stock up ~9%+ since mid-June and consensus modeling flattish sequential EPS, the risk/reward skews toward needing clean execution plus a confident handoff narrative to keep the rally going.</w:t>
      </w:r>
    </w:p>
    <w:p>
      <w:r>
        <w:pict>
          <v:rect style="width:0;height:1.5pt" o:hralign="center" o:hrstd="t" o:hr="t"/>
        </w:pict>
      </w:r>
    </w:p>
    <w:bookmarkEnd w:id="20"/>
    <w:bookmarkStart w:id="21" w:name="X6da48d08d59762e9ae83ec690ea799b31b0853e"/>
    <w:p>
      <w:pPr>
        <w:pStyle w:val="Heading2"/>
      </w:pPr>
      <w:r>
        <w:t xml:space="preserve">Bottom Line — What Actually Matters Friday</w:t>
      </w:r>
    </w:p>
    <w:p>
      <w:pPr>
        <w:pStyle w:val="Compact"/>
        <w:numPr>
          <w:ilvl w:val="0"/>
          <w:numId w:val="1001"/>
        </w:numPr>
      </w:pPr>
      <w:r>
        <w:rPr>
          <w:b/>
          <w:bCs/>
        </w:rPr>
        <w:t xml:space="preserve">CEO transition tone</w:t>
      </w:r>
      <w:r>
        <w:t xml:space="preserve"> </w:t>
      </w:r>
      <w:r>
        <w:t xml:space="preserve">— Does Lyons's arrival come with continuity (or hint at change) on strategy, targets, and capital?</w:t>
      </w:r>
    </w:p>
    <w:p>
      <w:pPr>
        <w:pStyle w:val="Compact"/>
        <w:numPr>
          <w:ilvl w:val="0"/>
          <w:numId w:val="1001"/>
        </w:numPr>
      </w:pPr>
      <w:r>
        <w:rPr>
          <w:b/>
          <w:bCs/>
        </w:rPr>
        <w:t xml:space="preserve">NII/NIM inflection</w:t>
      </w:r>
      <w:r>
        <w:t xml:space="preserve"> </w:t>
      </w:r>
      <w:r>
        <w:t xml:space="preserve">— Confirmation of the ~+1% Q2 NII and second-half margin expansion, given "no cuts" and deposit competition.</w:t>
      </w:r>
    </w:p>
    <w:p>
      <w:pPr>
        <w:pStyle w:val="Compact"/>
        <w:numPr>
          <w:ilvl w:val="0"/>
          <w:numId w:val="1001"/>
        </w:numPr>
      </w:pPr>
      <w:r>
        <w:rPr>
          <w:b/>
          <w:bCs/>
        </w:rPr>
        <w:t xml:space="preserve">Fee durability</w:t>
      </w:r>
      <w:r>
        <w:t xml:space="preserve"> </w:t>
      </w:r>
      <w:r>
        <w:t xml:space="preserve">— Whether IB&amp;T/wealth pipelines validate the raised high-single-digit fee guide.</w:t>
      </w:r>
    </w:p>
    <w:p>
      <w:pPr>
        <w:pStyle w:val="Compact"/>
        <w:numPr>
          <w:ilvl w:val="0"/>
          <w:numId w:val="1001"/>
        </w:numPr>
      </w:pPr>
      <w:r>
        <w:rPr>
          <w:b/>
          <w:bCs/>
        </w:rPr>
        <w:t xml:space="preserve">Buyback pace</w:t>
      </w:r>
      <w:r>
        <w:t xml:space="preserve"> </w:t>
      </w:r>
      <w:r>
        <w:t xml:space="preserve">— Any signal on sustaining/upsizing the $5B plan and Basel III RWA relief.</w:t>
      </w:r>
    </w:p>
    <w:p>
      <w:pPr>
        <w:pStyle w:val="Compact"/>
        <w:numPr>
          <w:ilvl w:val="0"/>
          <w:numId w:val="1001"/>
        </w:numPr>
      </w:pPr>
      <w:r>
        <w:rPr>
          <w:b/>
          <w:bCs/>
        </w:rPr>
        <w:t xml:space="preserve">Loan growth</w:t>
      </w:r>
      <w:r>
        <w:t xml:space="preserve"> </w:t>
      </w:r>
      <w:r>
        <w:t xml:space="preserve">— The bear case (Jefferies) hinges here; commercial momentum vs. intentional consumer restraint.</w:t>
      </w:r>
    </w:p>
    <w:p>
      <w:pPr>
        <w:pStyle w:val="FirstParagraph"/>
      </w:pPr>
      <w:r>
        <w:t xml:space="preserve">Given how much good news is already in the stock, the market's reaction likely turns more on the</w:t>
      </w:r>
      <w:r>
        <w:t xml:space="preserve"> </w:t>
      </w:r>
      <w:r>
        <w:rPr>
          <w:i/>
          <w:iCs/>
        </w:rPr>
        <w:t xml:space="preserve">forward messaging</w:t>
      </w:r>
      <w:r>
        <w:t xml:space="preserve"> </w:t>
      </w:r>
      <w:r>
        <w:t xml:space="preserve">— especially around the leadership change and the NIM ramp — than on the roughly in-line $1.08 headline.</w:t>
      </w:r>
    </w:p>
    <w:p>
      <w:pPr>
        <w:pStyle w:val="BodyText"/>
      </w:pPr>
      <w:r>
        <w:rPr>
          <w:i/>
          <w:iCs/>
        </w:rPr>
        <w:t xml:space="preserve">(Note: this preview relies on the most recent available disclosures — the April 17 Q1 2026 call/guidance and current news — since Q2 results are not yet released.)</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2026-07-17T00:03:50Z</dcterms:created>
  <dcterms:modified xsi:type="dcterms:W3CDTF">2026-07-17T00:03:50Z</dcterms:modified>
</cp:coreProperties>
</file>

<file path=docProps/custom.xml><?xml version="1.0" encoding="utf-8"?>
<Properties xmlns="http://schemas.openxmlformats.org/officeDocument/2006/custom-properties" xmlns:vt="http://schemas.openxmlformats.org/officeDocument/2006/docPropsVTypes"/>
</file>