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fc-earnings-predictions--2026-07-17"/>
    <w:p>
      <w:pPr>
        <w:pStyle w:val="Heading1"/>
      </w:pPr>
      <w:r>
        <w:t xml:space="preserve">TFC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~$3.68B vs. cons $3.65B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Income / IB &amp; Trading Fees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~$1.60B vs. cons $1.56B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~2.5%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NIM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~3.07% vs. cons ~3.05%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noninterest expense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~1.75% vs. cons ~2.0%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share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charge-offs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~53bps vs. cons ~55bps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-2.2% (FADE)</w:t>
            </w:r>
          </w:p>
        </w:tc>
        <w:tc>
          <w:tcPr/>
          <w:p>
            <w:pPr>
              <w:pStyle w:val="Compact"/>
            </w:pPr>
            <w:r>
              <w:t xml:space="preserve">TFC's beat, like USB/WFC/Citi this cycle, is likely driven by lower tax rate, buybacks, and one-off fee items rather than core NII acceleration; FY26 NII growth stays capped at 2-3% (no-cut assumption) and the mid-3% NIM 'exit rate' goal stays pushed to 2027, so analysts will trim out-period NII/NIM assumptions even after a headline beat. Stock is also up ~13% in six weeks into the print with five sell-side downgrades in the two weeks prior flagging valuation had run ahead of fundamentals, and peer reactions this season (Citi -1.5% on a big beat, WFC flat) show the bar for a sustained positive reaction is high — consistent with initial pop fading as revisions get reconciled with the more conservative full-year algorithm.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2026-07-17T00:13:14Z</dcterms:created>
  <dcterms:modified xsi:type="dcterms:W3CDTF">2026-07-17T00:13:14Z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