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8611bc35ceb789e64f6096484828279ed28b893"/>
    <w:p>
      <w:pPr>
        <w:pStyle w:val="Heading1"/>
      </w:pPr>
      <w:r>
        <w:t xml:space="preserve">Truist Financial (TFC) — Q2 2026 Earnings Preview</w:t>
      </w:r>
    </w:p>
    <w:p>
      <w:pPr>
        <w:pStyle w:val="FirstParagraph"/>
      </w:pPr>
      <w:r>
        <w:rPr>
          <w:b/>
          <w:bCs/>
        </w:rPr>
        <w:t xml:space="preserve">Report Date:</w:t>
      </w:r>
      <w:r>
        <w:t xml:space="preserve"> </w:t>
      </w:r>
      <w:r>
        <w:t xml:space="preserve">Thursday, July 17,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Truist enters tomorrow's report with the stock near 52-week highs and elevated sell-side scrutiny following a CEO transition announcement. TFC stock has outperformed the S&amp;P 500 Index's 20.8% gains over the past 52 weeks, with shares up 22.4% during this period, and it outperformed the Financial Select Sector SPDR ETF's 4% gains over the same time frame. Shares have climbed from roughly</w:t>
      </w:r>
      <w:r>
        <w:t xml:space="preserve"> </w:t>
      </w:r>
      <m:oMath>
        <m:r>
          <m:t>49</m:t>
        </m:r>
        <m:r>
          <m:rPr>
            <m:sty m:val="p"/>
          </m:rPr>
          <m:t>−</m:t>
        </m:r>
        <m:r>
          <m:t>50</m:t>
        </m:r>
        <m:r>
          <m:t>i</m:t>
        </m:r>
        <m:r>
          <m:t>n</m:t>
        </m:r>
        <m:r>
          <m:t>e</m:t>
        </m:r>
        <m:r>
          <m:t>a</m:t>
        </m:r>
        <m:r>
          <m:t>r</m:t>
        </m:r>
        <m:r>
          <m:t>l</m:t>
        </m:r>
        <m:r>
          <m:t>y</m:t>
        </m:r>
        <m:r>
          <m:t>J</m:t>
        </m:r>
        <m:r>
          <m:t>a</m:t>
        </m:r>
        <m:r>
          <m:t>n</m:t>
        </m:r>
        <m:r>
          <m:t>u</m:t>
        </m:r>
        <m:r>
          <m:t>a</m:t>
        </m:r>
        <m:r>
          <m:t>r</m:t>
        </m:r>
        <m:r>
          <m:t>y</m:t>
        </m:r>
        <m:r>
          <m:t>t</m:t>
        </m:r>
        <m:r>
          <m:t>o</m:t>
        </m:r>
        <m:r>
          <m:t>t</m:t>
        </m:r>
        <m:r>
          <m:t>h</m:t>
        </m:r>
        <m:r>
          <m:t>e</m:t>
        </m:r>
        <m:r>
          <m:t>l</m:t>
        </m:r>
        <m:r>
          <m:t>o</m:t>
        </m:r>
        <m:r>
          <m:t>w</m:t>
        </m:r>
        <m:r>
          <m:rPr>
            <m:sty m:val="p"/>
          </m:rPr>
          <m:t>−</m:t>
        </m:r>
      </m:oMath>
      <w:r>
        <w:t xml:space="preserve">50s heading into earnings, closing around $53.27 on July 16.</w:t>
      </w:r>
    </w:p>
    <w:p>
      <w:pPr>
        <w:pStyle w:val="BodyText"/>
      </w:pPr>
      <w:r>
        <w:rPr>
          <w:b/>
          <w:bCs/>
        </w:rPr>
        <w:t xml:space="preserve">Consensus expectations:</w:t>
      </w:r>
    </w:p>
    <w:p>
      <w:pPr>
        <w:pStyle w:val="Compact"/>
        <w:numPr>
          <w:ilvl w:val="0"/>
          <w:numId w:val="1001"/>
        </w:numPr>
      </w:pPr>
      <w:r>
        <w:t xml:space="preserve">Wall Street is looking for Truist Financial Corporation to report earnings of $1.08 per share on revenue of $5.24 billion when the regional bank releases its second-quarter 2026 results on July 17 before market open.</w:t>
      </w:r>
    </w:p>
    <w:p>
      <w:pPr>
        <w:pStyle w:val="Compact"/>
        <w:numPr>
          <w:ilvl w:val="0"/>
          <w:numId w:val="1001"/>
        </w:numPr>
      </w:pPr>
      <w:r>
        <w:t xml:space="preserve">Analysts expect TFC to report a profit of $1.08 per share on a diluted basis, up 18.7% from $0.91 per share in the year-ago quarter.</w:t>
      </w:r>
    </w:p>
    <w:p>
      <w:pPr>
        <w:pStyle w:val="Compact"/>
        <w:numPr>
          <w:ilvl w:val="0"/>
          <w:numId w:val="1001"/>
        </w:numPr>
      </w:pPr>
      <w:r>
        <w:t xml:space="preserve">The company beat the consensus estimates in three of the last four quarters while missing the forecast on another occasion.</w:t>
      </w:r>
    </w:p>
    <w:p>
      <w:pPr>
        <w:pStyle w:val="Compact"/>
        <w:numPr>
          <w:ilvl w:val="0"/>
          <w:numId w:val="1001"/>
        </w:numPr>
      </w:pPr>
      <w:r>
        <w:t xml:space="preserve">The Earnings ESP for Truist is +0.23%, and Truist currently carries a Zacks Rank #3 (Hold), which the model reads as skewed toward a modest beat.</w:t>
      </w:r>
    </w:p>
    <w:p>
      <w:pPr>
        <w:pStyle w:val="Compact"/>
        <w:numPr>
          <w:ilvl w:val="0"/>
          <w:numId w:val="1001"/>
        </w:numPr>
      </w:pPr>
      <w:r>
        <w:t xml:space="preserve">For the full year, analysts expect TFC to report EPS of $4.50, up 13.9% from $3.95 in fiscal 2025, with EPS expected to rise 13.3% year over year to $5.10 in fiscal 2027.</w:t>
      </w:r>
    </w:p>
    <w:p>
      <w:r>
        <w:pict>
          <v:rect style="width:0;height:1.5pt" o:hralign="center" o:hrstd="t" o:hr="t"/>
        </w:pict>
      </w:r>
    </w:p>
    <w:bookmarkEnd w:id="9"/>
    <w:bookmarkStart w:id="10" w:name="X331cad999e8efb9212d61e0aa5dc76ba36a16b3"/>
    <w:p>
      <w:pPr>
        <w:pStyle w:val="Heading2"/>
      </w:pPr>
      <w:r>
        <w:t xml:space="preserve">2. The Big Story: Leadership Transition</w:t>
      </w:r>
    </w:p>
    <w:p>
      <w:pPr>
        <w:pStyle w:val="FirstParagraph"/>
      </w:pPr>
      <w:r>
        <w:t xml:space="preserve">The dominant near-term narrative is the CEO succession announced in mid-June. Incoming CEO Michael Lyons, a former Fiserv CEO and PNC veteran, will succeed current CEO Bill Rogers effective September 1 after Truist announced the leadership change in June. Truist also strengthened its board around this transition — appointing Catherine Bessant, bolstering risk oversight, per an early-June 8-K.</w:t>
      </w:r>
    </w:p>
    <w:p>
      <w:pPr>
        <w:pStyle w:val="BodyText"/>
      </w:pPr>
      <w:r>
        <w:t xml:space="preserve">Sell-side reaction has been mixed but constructive: Wells Fargo analyst Mike Mayo called the move the "right fit, even if a little late," and rates TFC Equal Weight with a $55 price target, citing belief the new CEO can bring disciplined execution from his PNC tenure. On the more cautious side, Jefferies analyst David Chiaverini continues to see residual execution risk, particularly around loan growth.</w:t>
      </w:r>
    </w:p>
    <w:p>
      <w:pPr>
        <w:pStyle w:val="BodyText"/>
      </w:pPr>
      <w:r>
        <w:t xml:space="preserve">Interestingly, the stock initially popped on the CEO news but that also</w:t>
      </w:r>
      <w:r>
        <w:t xml:space="preserve"> </w:t>
      </w:r>
      <w:r>
        <w:rPr>
          <w:b/>
          <w:bCs/>
        </w:rPr>
        <w:t xml:space="preserve">dampened takeover speculation</w:t>
      </w:r>
      <w:r>
        <w:t xml:space="preserve"> </w:t>
      </w:r>
      <w:r>
        <w:t xml:space="preserve">— TFC shares declined in mid-June specifically because the fresh CEO hire reduced market chatter that Truist could be an acquisition target (a theme UBS's Erika Najarian pressed management on directly during the Q1 call, referencing a Bloomberg report that CEO Rogers dismissed as refuted).</w:t>
      </w:r>
    </w:p>
    <w:p>
      <w:pPr>
        <w:pStyle w:val="BodyText"/>
      </w:pPr>
      <w:r>
        <w:rPr>
          <w:b/>
          <w:bCs/>
        </w:rPr>
        <w:t xml:space="preserve">Notably, a wave of sell-side downgrades has hit right before earnings</w:t>
      </w:r>
      <w:r>
        <w:t xml:space="preserve">, suggesting valuation had run ahead of fundamentals after the CEO-driven rally:</w:t>
      </w:r>
    </w:p>
    <w:p>
      <w:pPr>
        <w:pStyle w:val="Compact"/>
        <w:numPr>
          <w:ilvl w:val="0"/>
          <w:numId w:val="1002"/>
        </w:numPr>
      </w:pPr>
      <w:r>
        <w:t xml:space="preserve">BofA Securities (Poonawala): downgraded Buy → Neutral, PT raised $54 → $56 (7/8)</w:t>
      </w:r>
    </w:p>
    <w:p>
      <w:pPr>
        <w:pStyle w:val="Compact"/>
        <w:numPr>
          <w:ilvl w:val="0"/>
          <w:numId w:val="1002"/>
        </w:numPr>
      </w:pPr>
      <w:r>
        <w:t xml:space="preserve">UBS (Najarian): downgraded Buy → Neutral, PT cut $58 → $55 (7/7)</w:t>
      </w:r>
    </w:p>
    <w:p>
      <w:pPr>
        <w:pStyle w:val="Compact"/>
        <w:numPr>
          <w:ilvl w:val="0"/>
          <w:numId w:val="1002"/>
        </w:numPr>
      </w:pPr>
      <w:r>
        <w:t xml:space="preserve">Morgan Stanley (Gosalia): downgraded Overweight → Equal-Weight, PT slashed $62 → $54 (7/6)</w:t>
      </w:r>
    </w:p>
    <w:p>
      <w:pPr>
        <w:pStyle w:val="Compact"/>
        <w:numPr>
          <w:ilvl w:val="0"/>
          <w:numId w:val="1002"/>
        </w:numPr>
      </w:pPr>
      <w:r>
        <w:t xml:space="preserve">Evercore ISI (Pancari): maintained Outperform, PT trimmed $58 → $57 (7/6)</w:t>
      </w:r>
    </w:p>
    <w:p>
      <w:pPr>
        <w:pStyle w:val="Compact"/>
        <w:numPr>
          <w:ilvl w:val="0"/>
          <w:numId w:val="1002"/>
        </w:numPr>
      </w:pPr>
      <w:r>
        <w:t xml:space="preserve">Raymond James (Rose): downgraded Outperform → Market Perform (7/1)</w:t>
      </w:r>
    </w:p>
    <w:p>
      <w:pPr>
        <w:pStyle w:val="FirstParagraph"/>
      </w:pPr>
      <w:r>
        <w:t xml:space="preserve">This cluster of downgrades in the two weeks before the print is a key data point — it implies the bar for a positive stock reaction may be higher than the modest EPS beat/miss framing suggests, especially if management doesn't offer fresh color on strategic continuity through the CEO handoff.</w:t>
      </w:r>
    </w:p>
    <w:p>
      <w:r>
        <w:pict>
          <v:rect style="width:0;height:1.5pt" o:hralign="center" o:hrstd="t" o:hr="t"/>
        </w:pict>
      </w:r>
    </w:p>
    <w:bookmarkEnd w:id="10"/>
    <w:bookmarkStart w:id="11" w:name="X353a413d50904e6f2a5ac9c944c891603334176"/>
    <w:p>
      <w:pPr>
        <w:pStyle w:val="Heading2"/>
      </w:pPr>
      <w:r>
        <w:t xml:space="preserve">3. What Management Guided For Last Quarter (Q1 2026 Call, April 17)</w:t>
      </w:r>
    </w:p>
    <w:p>
      <w:pPr>
        <w:pStyle w:val="FirstParagraph"/>
      </w:pPr>
      <w:r>
        <w:t xml:space="preserve">On the Q1 call, CFO Mike Maguire and CEO Bill Rogers laid out specific full-year and Q2 targets that should serve as the scorecard tomorrow:</w:t>
      </w:r>
    </w:p>
    <w:p>
      <w:pPr>
        <w:pStyle w:val="BodyText"/>
      </w:pPr>
      <w:r>
        <w:rPr>
          <w:b/>
          <w:bCs/>
        </w:rPr>
        <w:t xml:space="preserve">Full-year 2026 guidance (reiterated/updated in Q1):</w:t>
      </w:r>
    </w:p>
    <w:p>
      <w:pPr>
        <w:pStyle w:val="Compact"/>
        <w:numPr>
          <w:ilvl w:val="0"/>
          <w:numId w:val="1003"/>
        </w:numPr>
      </w:pPr>
      <w:r>
        <w:t xml:space="preserve">Net interest income growth trimmed to</w:t>
      </w:r>
      <w:r>
        <w:t xml:space="preserve"> </w:t>
      </w:r>
      <w:r>
        <w:rPr>
          <w:b/>
          <w:bCs/>
        </w:rPr>
        <w:t xml:space="preserve">2%–3%</w:t>
      </w:r>
      <w:r>
        <w:t xml:space="preserve"> </w:t>
      </w:r>
      <w:r>
        <w:t xml:space="preserve">(from 3%–4% previously), reflecting an assumption of</w:t>
      </w:r>
      <w:r>
        <w:t xml:space="preserve"> </w:t>
      </w:r>
      <w:r>
        <w:rPr>
          <w:b/>
          <w:bCs/>
        </w:rPr>
        <w:t xml:space="preserve">no Fed rate cuts</w:t>
      </w:r>
      <w:r>
        <w:t xml:space="preserve"> </w:t>
      </w:r>
      <w:r>
        <w:t xml:space="preserve">in 2026 versus a prior assumption of two 25bp cuts (April/July)</w:t>
      </w:r>
    </w:p>
    <w:p>
      <w:pPr>
        <w:pStyle w:val="Compact"/>
        <w:numPr>
          <w:ilvl w:val="0"/>
          <w:numId w:val="1003"/>
        </w:numPr>
      </w:pPr>
      <w:r>
        <w:t xml:space="preserve">Noninterest income raised to</w:t>
      </w:r>
      <w:r>
        <w:t xml:space="preserve"> </w:t>
      </w:r>
      <w:r>
        <w:rPr>
          <w:b/>
          <w:bCs/>
        </w:rPr>
        <w:t xml:space="preserve">high single-digit growth</w:t>
      </w:r>
      <w:r>
        <w:t xml:space="preserve"> </w:t>
      </w:r>
      <w:r>
        <w:t xml:space="preserve">(from mid-to-high single digit), driven by IB/trading and wealth management momentum</w:t>
      </w:r>
    </w:p>
    <w:p>
      <w:pPr>
        <w:pStyle w:val="Compact"/>
        <w:numPr>
          <w:ilvl w:val="0"/>
          <w:numId w:val="1003"/>
        </w:numPr>
      </w:pPr>
      <w:r>
        <w:t xml:space="preserve">Noninterest expense growth of</w:t>
      </w:r>
      <w:r>
        <w:t xml:space="preserve"> </w:t>
      </w:r>
      <w:r>
        <w:rPr>
          <w:b/>
          <w:bCs/>
        </w:rPr>
        <w:t xml:space="preserve">~1.75%</w:t>
      </w:r>
    </w:p>
    <w:p>
      <w:pPr>
        <w:pStyle w:val="Compact"/>
        <w:numPr>
          <w:ilvl w:val="0"/>
          <w:numId w:val="1003"/>
        </w:numPr>
      </w:pPr>
      <w:r>
        <w:t xml:space="preserve">Net charge-offs of</w:t>
      </w:r>
      <w:r>
        <w:t xml:space="preserve"> </w:t>
      </w:r>
      <w:r>
        <w:rPr>
          <w:b/>
          <w:bCs/>
        </w:rPr>
        <w:t xml:space="preserve">~55 bps</w:t>
      </w:r>
    </w:p>
    <w:p>
      <w:pPr>
        <w:pStyle w:val="Compact"/>
        <w:numPr>
          <w:ilvl w:val="0"/>
          <w:numId w:val="1003"/>
        </w:numPr>
      </w:pPr>
      <w:r>
        <w:t xml:space="preserve">Effective tax rate cut to</w:t>
      </w:r>
      <w:r>
        <w:t xml:space="preserve"> </w:t>
      </w:r>
      <w:r>
        <w:rPr>
          <w:b/>
          <w:bCs/>
        </w:rPr>
        <w:t xml:space="preserve">~14.5%</w:t>
      </w:r>
      <w:r>
        <w:t xml:space="preserve"> </w:t>
      </w:r>
      <w:r>
        <w:t xml:space="preserve">(16.5% on a TE basis), aided by Project Finance-related tax benefits</w:t>
      </w:r>
    </w:p>
    <w:p>
      <w:pPr>
        <w:pStyle w:val="Compact"/>
        <w:numPr>
          <w:ilvl w:val="0"/>
          <w:numId w:val="1003"/>
        </w:numPr>
      </w:pPr>
      <w:r>
        <w:t xml:space="preserve">Share buybacks raised to</w:t>
      </w:r>
      <w:r>
        <w:t xml:space="preserve"> </w:t>
      </w:r>
      <w:r>
        <w:rPr>
          <w:b/>
          <w:bCs/>
        </w:rPr>
        <w:t xml:space="preserve">~$5 billion</w:t>
      </w:r>
      <w:r>
        <w:t xml:space="preserve"> </w:t>
      </w:r>
      <w:r>
        <w:t xml:space="preserve">for 2026 (from $4 billion)</w:t>
      </w:r>
    </w:p>
    <w:p>
      <w:pPr>
        <w:pStyle w:val="Compact"/>
        <w:numPr>
          <w:ilvl w:val="0"/>
          <w:numId w:val="1003"/>
        </w:numPr>
      </w:pPr>
      <w:r>
        <w:t xml:space="preserve">ROTCE targets:</w:t>
      </w:r>
      <w:r>
        <w:t xml:space="preserve"> </w:t>
      </w:r>
      <w:r>
        <w:rPr>
          <w:b/>
          <w:bCs/>
        </w:rPr>
        <w:t xml:space="preserve">14% for 2026</w:t>
      </w:r>
      <w:r>
        <w:t xml:space="preserve">,</w:t>
      </w:r>
      <w:r>
        <w:t xml:space="preserve"> </w:t>
      </w:r>
      <w:r>
        <w:rPr>
          <w:b/>
          <w:bCs/>
        </w:rPr>
        <w:t xml:space="preserve">15% for 2027</w:t>
      </w:r>
      <w:r>
        <w:t xml:space="preserve">, and a newly introduced</w:t>
      </w:r>
      <w:r>
        <w:t xml:space="preserve"> </w:t>
      </w:r>
      <w:r>
        <w:rPr>
          <w:b/>
          <w:bCs/>
        </w:rPr>
        <w:t xml:space="preserve">16%–18% long-term (3–5 year) target</w:t>
      </w:r>
    </w:p>
    <w:p>
      <w:pPr>
        <w:pStyle w:val="FirstParagraph"/>
      </w:pPr>
      <w:r>
        <w:rPr>
          <w:b/>
          <w:bCs/>
        </w:rPr>
        <w:t xml:space="preserve">Specific Q2 2026 guidance:</w:t>
      </w:r>
    </w:p>
    <w:p>
      <w:pPr>
        <w:pStyle w:val="Compact"/>
        <w:numPr>
          <w:ilvl w:val="0"/>
          <w:numId w:val="1004"/>
        </w:numPr>
      </w:pPr>
      <w:r>
        <w:t xml:space="preserve">Revenue roughly</w:t>
      </w:r>
      <w:r>
        <w:t xml:space="preserve"> </w:t>
      </w:r>
      <w:r>
        <w:rPr>
          <w:b/>
          <w:bCs/>
        </w:rPr>
        <w:t xml:space="preserve">flat versus Q1's $5.2 billion</w:t>
      </w:r>
    </w:p>
    <w:p>
      <w:pPr>
        <w:pStyle w:val="Compact"/>
        <w:numPr>
          <w:ilvl w:val="0"/>
          <w:numId w:val="1004"/>
        </w:numPr>
      </w:pPr>
      <w:r>
        <w:t xml:space="preserve">NII</w:t>
      </w:r>
      <w:r>
        <w:t xml:space="preserve"> </w:t>
      </w:r>
      <w:r>
        <w:rPr>
          <w:b/>
          <w:bCs/>
        </w:rPr>
        <w:t xml:space="preserve">+~1%</w:t>
      </w:r>
      <w:r>
        <w:t xml:space="preserve"> </w:t>
      </w:r>
      <w:r>
        <w:t xml:space="preserve">QoQ (extra day, higher client deposits)</w:t>
      </w:r>
    </w:p>
    <w:p>
      <w:pPr>
        <w:pStyle w:val="Compact"/>
        <w:numPr>
          <w:ilvl w:val="0"/>
          <w:numId w:val="1004"/>
        </w:numPr>
      </w:pPr>
      <w:r>
        <w:t xml:space="preserve">Noninterest income</w:t>
      </w:r>
      <w:r>
        <w:t xml:space="preserve"> </w:t>
      </w:r>
      <w:r>
        <w:rPr>
          <w:b/>
          <w:bCs/>
        </w:rPr>
        <w:t xml:space="preserve">-~1%</w:t>
      </w:r>
      <w:r>
        <w:t xml:space="preserve"> </w:t>
      </w:r>
      <w:r>
        <w:t xml:space="preserve">QoQ (lower IB/trading, offset by card/treasury fees)</w:t>
      </w:r>
    </w:p>
    <w:p>
      <w:pPr>
        <w:pStyle w:val="Compact"/>
        <w:numPr>
          <w:ilvl w:val="0"/>
          <w:numId w:val="1004"/>
        </w:numPr>
      </w:pPr>
      <w:r>
        <w:t xml:space="preserve">Noninterest expense</w:t>
      </w:r>
      <w:r>
        <w:t xml:space="preserve"> </w:t>
      </w:r>
      <w:r>
        <w:rPr>
          <w:b/>
          <w:bCs/>
        </w:rPr>
        <w:t xml:space="preserve">+3%–4%</w:t>
      </w:r>
      <w:r>
        <w:t xml:space="preserve"> </w:t>
      </w:r>
      <w:r>
        <w:t xml:space="preserve">QoQ off Q1's $3.0 billion (higher personnel costs)</w:t>
      </w:r>
    </w:p>
    <w:p>
      <w:pPr>
        <w:pStyle w:val="Compact"/>
        <w:numPr>
          <w:ilvl w:val="0"/>
          <w:numId w:val="1004"/>
        </w:numPr>
      </w:pPr>
      <w:r>
        <w:t xml:space="preserve">Buybacks of</w:t>
      </w:r>
      <w:r>
        <w:t xml:space="preserve"> </w:t>
      </w:r>
      <w:r>
        <w:rPr>
          <w:b/>
          <w:bCs/>
        </w:rPr>
        <w:t xml:space="preserve">~$1.2 billion</w:t>
      </w:r>
    </w:p>
    <w:p>
      <w:pPr>
        <w:pStyle w:val="FirstParagraph"/>
      </w:pPr>
      <w:r>
        <w:t xml:space="preserve">Independent sell-side models track closely to this framework: management expects GAAP non-interest expenses to rise 3-4% from $3 billion in the first quarter of 2026, due to higher personal costs, and the Zacks Consensus Estimate for TFC's average earning assets for the quarter is pegged at $488.4 billion, indicating a 1.5% rise from the prior-year quarter.</w:t>
      </w:r>
    </w:p>
    <w:p>
      <w:r>
        <w:pict>
          <v:rect style="width:0;height:1.5pt" o:hralign="center" o:hrstd="t" o:hr="t"/>
        </w:pict>
      </w:r>
    </w:p>
    <w:bookmarkEnd w:id="11"/>
    <w:bookmarkStart w:id="12" w:name="X2adc59179bd6359cc238d5464d75655e2b6ac92"/>
    <w:p>
      <w:pPr>
        <w:pStyle w:val="Heading2"/>
      </w:pPr>
      <w:r>
        <w:t xml:space="preserve">4. Key Themes to Watch on the Call</w:t>
      </w:r>
    </w:p>
    <w:p>
      <w:pPr>
        <w:pStyle w:val="FirstParagraph"/>
      </w:pPr>
      <w:r>
        <w:rPr>
          <w:b/>
          <w:bCs/>
        </w:rPr>
        <w:t xml:space="preserve">1. Net interest margin trajectory / "3-teens" delay.</w:t>
      </w:r>
      <w:r>
        <w:t xml:space="preserve"> </w:t>
      </w:r>
      <w:r>
        <w:t xml:space="preserve">Management pushed back its long-standing goal of reaching a mid-3% NIM exit rate to 2027 (from year-end 2026) due to the rate-cut assumption change, though it still expects full-year 2026 NIM to exceed 2025's 3.03% average, with sequential improvement into Q3/Q4 on seasonal deposit patterns. Watch for confirmation NIM stayed roughly stable in Q2 as guided.</w:t>
      </w:r>
    </w:p>
    <w:p>
      <w:pPr>
        <w:pStyle w:val="BodyText"/>
      </w:pPr>
      <w:r>
        <w:rPr>
          <w:b/>
          <w:bCs/>
        </w:rPr>
        <w:t xml:space="preserve">2. Deposit competition and betas.</w:t>
      </w:r>
      <w:r>
        <w:t xml:space="preserve"> </w:t>
      </w:r>
      <w:r>
        <w:t xml:space="preserve">Management flagged intensifying "yield-seeking" behavior and competitive deposit pricing pressure, particularly from migration into Truist's Southeast footprint. Cumulative deposit betas (46% interest-bearing / 31% total as of Q1) are a metric to track for continued creep.</w:t>
      </w:r>
    </w:p>
    <w:p>
      <w:pPr>
        <w:pStyle w:val="BodyText"/>
      </w:pPr>
      <w:r>
        <w:rPr>
          <w:b/>
          <w:bCs/>
        </w:rPr>
        <w:t xml:space="preserve">3. Loan growth mix.</w:t>
      </w:r>
      <w:r>
        <w:t xml:space="preserve"> </w:t>
      </w:r>
      <w:r>
        <w:t xml:space="preserve">Full-year guide remains 3%–4% average loan growth, concentrated in commercial/wholesale (up 9% YoY in Q1) and select consumer categories (Sheffield, Service Finance, LightStream), while indirect auto and residential mortgage stay muted by design. Demand for commercial and industrial (C&amp;I) loans, accounting for almost 50% of TFC's total loans and leases held for investment, was robust in the quarter, and demand for consumer loans (almost 40% of total loans) was solid per Fed data — a tailwind for the print. Jefferies' Chiaverini remains the bear-case voice on execution risk here.</w:t>
      </w:r>
    </w:p>
    <w:p>
      <w:pPr>
        <w:pStyle w:val="BodyText"/>
      </w:pPr>
      <w:r>
        <w:rPr>
          <w:b/>
          <w:bCs/>
        </w:rPr>
        <w:t xml:space="preserve">4. Fee income / Investment Banking momentum.</w:t>
      </w:r>
      <w:r>
        <w:t xml:space="preserve"> </w:t>
      </w:r>
      <w:r>
        <w:t xml:space="preserve">IB and trading posted their best quarter since 2021 in Q1 (+36% YoY), and management guided to high-teens growth for the full IB &amp; Trading line and double-digit growth for core (non-trading) investment banking. Any deceleration here, given tougher year-ago comps, would be worth flagging.</w:t>
      </w:r>
    </w:p>
    <w:p>
      <w:pPr>
        <w:pStyle w:val="BodyText"/>
      </w:pPr>
      <w:r>
        <w:rPr>
          <w:b/>
          <w:bCs/>
        </w:rPr>
        <w:t xml:space="preserve">5. Credit quality and NDFI/CRE exposure.</w:t>
      </w:r>
      <w:r>
        <w:t xml:space="preserve"> </w:t>
      </w:r>
      <w:r>
        <w:t xml:space="preserve">Management guided to ~55bps NCOs for the year and gave expanded disclosure on nondepository financial institution (NDFI) exposure (12% of total loans, diversified across 35 asset classes, largest concentration in diversified equity REITs) as well as private credit/BDC exposure (~1% of loans), arguing these portfolios are conservatively structured and stress-tested to outperform the aggregate C&amp;I book. Zacks flags elevated non-performing metrics optically: the consensus estimate for total non-accrual loans and leases of $2.16 billion suggests a 71.4% year-over-year jump, and total non-performing assets are estimated at $2.23 billion, a 69.5% surge — though part of this reflects a disclosed change in nonaccrual criteria for indirect auto loans rather than underlying credit deterioration.</w:t>
      </w:r>
    </w:p>
    <w:p>
      <w:pPr>
        <w:pStyle w:val="BodyText"/>
      </w:pPr>
      <w:r>
        <w:rPr>
          <w:b/>
          <w:bCs/>
        </w:rPr>
        <w:t xml:space="preserve">6. Capital return and Basel III tailwind.</w:t>
      </w:r>
      <w:r>
        <w:t xml:space="preserve"> </w:t>
      </w:r>
      <w:r>
        <w:t xml:space="preserve">TFC's CET1 ratio was 10.8% in Q1, buybacks were raised to $5B for 2026, and management estimated the proposed Basel III standardized approach could cut risk-weighted assets by 9%–11%, supporting durability of elevated capital return into 2027-28. Watch for any updated commentary now that the rule is further along.</w:t>
      </w:r>
    </w:p>
    <w:p>
      <w:pPr>
        <w:pStyle w:val="BodyText"/>
      </w:pPr>
      <w:r>
        <w:rPr>
          <w:b/>
          <w:bCs/>
        </w:rPr>
        <w:t xml:space="preserve">7. Leadership continuity messaging.</w:t>
      </w:r>
      <w:r>
        <w:t xml:space="preserve"> </w:t>
      </w:r>
      <w:r>
        <w:t xml:space="preserve">With Lyons set to take over September 1, expect questions on strategic continuity, the pace of integration, and whether the 16%-18% long-term ROTCE target and M&amp;A-avoidance stance (reiterated firmly by Rogers on the Q1 call) will persist under new leadership.</w:t>
      </w:r>
    </w:p>
    <w:p>
      <w:r>
        <w:pict>
          <v:rect style="width:0;height:1.5pt" o:hralign="center" o:hrstd="t" o:hr="t"/>
        </w:pict>
      </w:r>
    </w:p>
    <w:bookmarkEnd w:id="12"/>
    <w:bookmarkStart w:id="13" w:name="Xde26bfa5f5008934602f6fcb9dbaca08db4fc1b"/>
    <w:p>
      <w:pPr>
        <w:pStyle w:val="Heading2"/>
      </w:pPr>
      <w:r>
        <w:t xml:space="preserve">5. Peer Read-Through</w:t>
      </w:r>
    </w:p>
    <w:p>
      <w:pPr>
        <w:pStyle w:val="FirstParagraph"/>
      </w:pPr>
      <w:r>
        <w:t xml:space="preserve">Early Q2 reporters offer mixed signals for the sector: Citigroup delivered year-on-year revenue growth of 14.3%, beating analysts' expectations by 4.5%, and Wells Fargo reported revenues up 8.6%, topping estimates by 3.9%, though Citigroup traded down 4.1% following results while Wells Fargo's stock price was unchanged — a reminder that beats alone haven't guaranteed positive stock reactions this earnings season. U.S. Bancorp reported the day before TFC (July 16) and carries a more favorable Zacks setup than Truist heading into results.</w:t>
      </w:r>
    </w:p>
    <w:p>
      <w:r>
        <w:pict>
          <v:rect style="width:0;height:1.5pt" o:hralign="center" o:hrstd="t" o:hr="t"/>
        </w:pict>
      </w:r>
    </w:p>
    <w:bookmarkEnd w:id="13"/>
    <w:bookmarkStart w:id="14" w:name="Xd4bf6205a9bfa183b58f00ca467c208cbf0bac7"/>
    <w:p>
      <w:pPr>
        <w:pStyle w:val="Heading2"/>
      </w:pPr>
      <w:r>
        <w:t xml:space="preserve">6. Bottom Line for Investors</w:t>
      </w:r>
    </w:p>
    <w:p>
      <w:pPr>
        <w:pStyle w:val="FirstParagraph"/>
      </w:pPr>
      <w:r>
        <w:t xml:space="preserve">TFC heads into Q2 with a straightforward algorithm already laid out by management: modestly softer NII growth (offset by rate-cut delays) combined with stronger fee income, tight expense control, a lower tax rate, and bigger buybacks — netting out to unchanged full-year earnings power and progress toward the 14% (2026) and 15% (2027) ROTCE targets. The wildcard is less about the numbers and more about</w:t>
      </w:r>
      <w:r>
        <w:t xml:space="preserve"> </w:t>
      </w:r>
      <w:r>
        <w:rPr>
          <w:b/>
          <w:bCs/>
        </w:rPr>
        <w:t xml:space="preserve">narrative continuity</w:t>
      </w:r>
      <w:r>
        <w:t xml:space="preserve"> </w:t>
      </w:r>
      <w:r>
        <w:t xml:space="preserve">through the CEO transition and whether the recent cluster of analyst downgrades (post CEO-news rally) signals the stock has already priced in the good news, leaving limited room for upside surprise unless management delivers on NIM stabilization, continued IB momentum, and credit quality reassurance around NDFI/CRE exposure.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2026-07-17T00:13:14Z</dcterms:created>
  <dcterms:modified xsi:type="dcterms:W3CDTF">2026-07-17T00:13:14Z</dcterms:modified>
</cp:coreProperties>
</file>

<file path=docProps/custom.xml><?xml version="1.0" encoding="utf-8"?>
<Properties xmlns="http://schemas.openxmlformats.org/officeDocument/2006/custom-properties" xmlns:vt="http://schemas.openxmlformats.org/officeDocument/2006/docPropsVTypes"/>
</file>