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12909ad814f8636571a791c595023328699300"/>
    <w:p>
      <w:pPr>
        <w:pStyle w:val="Heading1"/>
      </w:pPr>
      <w:r>
        <w:t xml:space="preserve">Truist Financial (TFC) Q2 2026 Earnings Preview</w:t>
      </w:r>
    </w:p>
    <w:p>
      <w:pPr>
        <w:pStyle w:val="FirstParagraph"/>
      </w:pPr>
      <w:r>
        <w:rPr>
          <w:b/>
          <w:bCs/>
        </w:rPr>
        <w:t xml:space="preserve">Report date:</w:t>
      </w:r>
      <w:r>
        <w:t xml:space="preserve"> </w:t>
      </w:r>
      <w:r>
        <w:t xml:space="preserve">Friday, July 17, 2026, before the market opens</w:t>
      </w:r>
      <w:r>
        <w:br/>
      </w:r>
      <w:r>
        <w:rPr>
          <w:b/>
          <w:bCs/>
        </w:rPr>
        <w:t xml:space="preserve">Consensus:</w:t>
      </w:r>
      <w:r>
        <w:t xml:space="preserve"> </w:t>
      </w:r>
      <m:oMath>
        <m:r>
          <m:t>1.08</m:t>
        </m:r>
        <m:r>
          <m:t>E</m:t>
        </m:r>
        <m:r>
          <m:t>P</m:t>
        </m:r>
        <m:r>
          <m:t>S</m:t>
        </m:r>
        <m:r>
          <m:rPr>
            <m:sty m:val="p"/>
          </m:rPr>
          <m:t>*</m:t>
        </m:r>
        <m:r>
          <m:rPr>
            <m:sty m:val="p"/>
          </m:rPr>
          <m:t>*</m:t>
        </m:r>
        <m:r>
          <m:t>o</m:t>
        </m:r>
        <m:r>
          <m:t>n</m:t>
        </m:r>
        <m:r>
          <m:rPr>
            <m:sty m:val="p"/>
          </m:rPr>
          <m:t>*</m:t>
        </m:r>
        <m:r>
          <m:rPr>
            <m:sty m:val="p"/>
          </m:rPr>
          <m:t>*</m:t>
        </m:r>
      </m:oMath>
      <w:r>
        <w:rPr>
          <w:b/>
          <w:bCs/>
        </w:rPr>
        <w:t xml:space="preserve">5.24 billion of revenue</w:t>
      </w:r>
      <w:r>
        <w:br/>
      </w:r>
      <w:r>
        <w:rPr>
          <w:b/>
          <w:bCs/>
        </w:rPr>
        <w:t xml:space="preserve">Prior quarter:</w:t>
      </w:r>
      <w:r>
        <w:t xml:space="preserve"> </w:t>
      </w:r>
      <w:r>
        <w:t xml:space="preserve">$1.09 EPS; $5.20 billion of taxable-equivalent revenue</w:t>
      </w:r>
      <w:r>
        <w:br/>
      </w:r>
      <w:r>
        <w:rPr>
          <w:b/>
          <w:bCs/>
        </w:rPr>
        <w:t xml:space="preserve">July 16 closing price:</w:t>
      </w:r>
      <w:r>
        <w:t xml:space="preserve"> </w:t>
      </w:r>
      <w:r>
        <w:t xml:space="preserve">$53.27</w:t>
      </w:r>
    </w:p>
    <w:bookmarkStart w:id="9" w:name="investment-view-going-into-the-report"/>
    <w:p>
      <w:pPr>
        <w:pStyle w:val="Heading2"/>
      </w:pPr>
      <w:r>
        <w:t xml:space="preserve">Investment view going into the report</w:t>
      </w:r>
    </w:p>
    <w:p>
      <w:pPr>
        <w:pStyle w:val="FirstParagraph"/>
      </w:pPr>
      <w:r>
        <w:t xml:space="preserve">Truist’s second-quarter numbers should show relatively stable earnings, but the stock’s reaction will likely depend more on</w:t>
      </w:r>
      <w:r>
        <w:t xml:space="preserve"> </w:t>
      </w:r>
      <w:r>
        <w:rPr>
          <w:b/>
          <w:bCs/>
        </w:rPr>
        <w:t xml:space="preserve">revenue quality, loan growth, expenses, and management’s confidence in full-year guidance</w:t>
      </w:r>
      <w:r>
        <w:t xml:space="preserve"> </w:t>
      </w:r>
      <w:r>
        <w:t xml:space="preserve">than on the headline EPS result.</w:t>
      </w:r>
    </w:p>
    <w:p>
      <w:pPr>
        <w:pStyle w:val="BodyText"/>
      </w:pPr>
      <w:r>
        <w:t xml:space="preserve">The leadership transition adds another layer. Incoming CEO</w:t>
      </w:r>
      <w:r>
        <w:t xml:space="preserve"> </w:t>
      </w:r>
      <w:r>
        <w:rPr>
          <w:b/>
          <w:bCs/>
        </w:rPr>
        <w:t xml:space="preserve">Michael Lyons</w:t>
      </w:r>
      <w:r>
        <w:t xml:space="preserve"> </w:t>
      </w:r>
      <w:r>
        <w:t xml:space="preserve">begins September 1 and will not participate in Friday’s call. Current CEO Bill Rogers will lead the discussion before becoming executive chair through his planned April 2027 retirement. Consequently, investors may receive only limited detail about Lyons’ eventual strategy.</w:t>
      </w:r>
    </w:p>
    <w:p>
      <w:pPr>
        <w:pStyle w:val="BodyText"/>
      </w:pPr>
      <w:r>
        <w:t xml:space="preserve">Expectations have risen: TFC has appreciated approximately 10% from its June 15 close following the CEO announcement. At roughly</w:t>
      </w:r>
      <w:r>
        <w:t xml:space="preserve"> </w:t>
      </w:r>
      <w:r>
        <w:rPr>
          <w:b/>
          <w:bCs/>
        </w:rPr>
        <w:t xml:space="preserve">11 times forward earnings</w:t>
      </w:r>
      <w:r>
        <w:t xml:space="preserve">,</w:t>
      </w:r>
      <w:r>
        <w:t xml:space="preserve"> </w:t>
      </w:r>
      <w:r>
        <w:rPr>
          <w:b/>
          <w:bCs/>
        </w:rPr>
        <w:t xml:space="preserve">1.6 times first-quarter tangible book value</w:t>
      </w:r>
      <w:r>
        <w:t xml:space="preserve">, and a</w:t>
      </w:r>
      <w:r>
        <w:t xml:space="preserve"> </w:t>
      </w:r>
      <w:r>
        <w:rPr>
          <w:b/>
          <w:bCs/>
        </w:rPr>
        <w:t xml:space="preserve">3.9% dividend yield</w:t>
      </w:r>
      <w:r>
        <w:t xml:space="preserve">, the stock is not expensive—but the recent rally means a merely in-line quarter may not be enough unless the outlook remains constructive.</w:t>
      </w:r>
    </w:p>
    <w:p>
      <w:r>
        <w:pict>
          <v:rect style="width:0;height:1.5pt" o:hralign="center" o:hrstd="t" o:hr="t"/>
        </w:pict>
      </w:r>
    </w:p>
    <w:bookmarkEnd w:id="9"/>
    <w:bookmarkStart w:id="11" w:name="what-management-guided-for-q2"/>
    <w:p>
      <w:pPr>
        <w:pStyle w:val="Heading2"/>
      </w:pPr>
      <w:r>
        <w:t xml:space="preserve">What management guided for Q2</w:t>
      </w:r>
    </w:p>
    <w:p>
      <w:pPr>
        <w:pStyle w:val="FirstParagraph"/>
      </w:pPr>
      <w:r>
        <w:t xml:space="preserve">Truist’s first-quarter guidance provides a relatively clear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Q2 item</w:t>
            </w:r>
          </w:p>
        </w:tc>
        <w:tc>
          <w:tcPr/>
          <w:p>
            <w:pPr>
              <w:pStyle w:val="Compact"/>
              <w:jc w:val="right"/>
            </w:pPr>
            <w:r>
              <w:t xml:space="preserve">Management guidance</w:t>
            </w:r>
          </w:p>
        </w:tc>
        <w:tc>
          <w:tcPr/>
          <w:p>
            <w:pPr>
              <w:pStyle w:val="Compact"/>
              <w:jc w:val="right"/>
            </w:pPr>
            <w:r>
              <w:t xml:space="preserve">Implied level</w:t>
            </w:r>
          </w:p>
        </w:tc>
      </w:tr>
      <w:tr>
        <w:tc>
          <w:tcPr/>
          <w:p>
            <w:pPr>
              <w:pStyle w:val="Compact"/>
            </w:pPr>
            <w:r>
              <w:t xml:space="preserve">Total revenue</w:t>
            </w:r>
          </w:p>
        </w:tc>
        <w:tc>
          <w:tcPr/>
          <w:p>
            <w:pPr>
              <w:pStyle w:val="Compact"/>
              <w:jc w:val="right"/>
            </w:pPr>
            <w:r>
              <w:t xml:space="preserve">Approximately stable vs. Q1</w:t>
            </w:r>
          </w:p>
        </w:tc>
        <w:tc>
          <w:tcPr/>
          <w:p>
            <w:pPr>
              <w:pStyle w:val="Compact"/>
              <w:jc w:val="right"/>
            </w:pPr>
            <w:r>
              <w:t xml:space="preserve">About $5.2B, TE basis</w:t>
            </w:r>
          </w:p>
        </w:tc>
      </w:tr>
      <w:tr>
        <w:tc>
          <w:tcPr/>
          <w:p>
            <w:pPr>
              <w:pStyle w:val="Compact"/>
            </w:pPr>
            <w:r>
              <w:t xml:space="preserve">Net interest income</w:t>
            </w:r>
          </w:p>
        </w:tc>
        <w:tc>
          <w:tcPr/>
          <w:p>
            <w:pPr>
              <w:pStyle w:val="Compact"/>
              <w:jc w:val="right"/>
            </w:pPr>
            <w:r>
              <w:t xml:space="preserve">Up approximately 1% sequentially</w:t>
            </w:r>
          </w:p>
        </w:tc>
        <w:tc>
          <w:tcPr/>
          <w:p>
            <w:pPr>
              <w:pStyle w:val="Compact"/>
              <w:jc w:val="right"/>
            </w:pPr>
            <w:r>
              <w:t xml:space="preserve">About $3.68B, TE</w:t>
            </w:r>
          </w:p>
        </w:tc>
      </w:tr>
      <w:tr>
        <w:tc>
          <w:tcPr/>
          <w:p>
            <w:pPr>
              <w:pStyle w:val="Compact"/>
            </w:pPr>
            <w:r>
              <w:t xml:space="preserve">Noninterest income</w:t>
            </w:r>
          </w:p>
        </w:tc>
        <w:tc>
          <w:tcPr/>
          <w:p>
            <w:pPr>
              <w:pStyle w:val="Compact"/>
              <w:jc w:val="right"/>
            </w:pPr>
            <w:r>
              <w:t xml:space="preserve">Down approximately 1%</w:t>
            </w:r>
          </w:p>
        </w:tc>
        <w:tc>
          <w:tcPr/>
          <w:p>
            <w:pPr>
              <w:pStyle w:val="Compact"/>
              <w:jc w:val="right"/>
            </w:pPr>
            <w:r>
              <w:t xml:space="preserve">About $1.54B</w:t>
            </w:r>
          </w:p>
        </w:tc>
      </w:tr>
      <w:tr>
        <w:tc>
          <w:tcPr/>
          <w:p>
            <w:pPr>
              <w:pStyle w:val="Compact"/>
            </w:pPr>
            <w:r>
              <w:t xml:space="preserve">Noninterest expense</w:t>
            </w:r>
          </w:p>
        </w:tc>
        <w:tc>
          <w:tcPr/>
          <w:p>
            <w:pPr>
              <w:pStyle w:val="Compact"/>
              <w:jc w:val="right"/>
            </w:pPr>
            <w:r>
              <w:t xml:space="preserve">Up 3%–4%</w:t>
            </w:r>
          </w:p>
        </w:tc>
        <w:tc>
          <w:tcPr/>
          <w:p>
            <w:pPr>
              <w:pStyle w:val="Compact"/>
              <w:jc w:val="right"/>
            </w:pPr>
            <w:r>
              <w:t xml:space="preserve">Approximately</w:t>
            </w:r>
            <w:r>
              <w:t xml:space="preserve"> </w:t>
            </w:r>
            <m:oMath>
              <m:r>
                <m:t>3.07</m:t>
              </m:r>
              <m:r>
                <m:t>B</m:t>
              </m:r>
              <m:r>
                <m:rPr>
                  <m:sty m:val="p"/>
                </m:rPr>
                <m:t>–</m:t>
              </m:r>
            </m:oMath>
            <w:r>
              <w:t xml:space="preserve">3.09B</w:t>
            </w:r>
          </w:p>
        </w:tc>
      </w:tr>
      <w:tr>
        <w:tc>
          <w:tcPr/>
          <w:p>
            <w:pPr>
              <w:pStyle w:val="Compact"/>
            </w:pPr>
            <w:r>
              <w:t xml:space="preserve">Share repurchases</w:t>
            </w:r>
          </w:p>
        </w:tc>
        <w:tc>
          <w:tcPr/>
          <w:p>
            <w:pPr>
              <w:pStyle w:val="Compact"/>
              <w:jc w:val="right"/>
            </w:pPr>
            <w:r>
              <w:t xml:space="preserve">Approximately $1.2B</w:t>
            </w:r>
          </w:p>
        </w:tc>
        <w:tc>
          <w:tcPr/>
          <w:p>
            <w:pPr>
              <w:pStyle w:val="Compact"/>
              <w:jc w:val="right"/>
            </w:pPr>
            <w:r>
              <w:t xml:space="preserve">Completed largely in April</w:t>
            </w:r>
          </w:p>
        </w:tc>
      </w:tr>
    </w:tbl>
    <w:p>
      <w:pPr>
        <w:pStyle w:val="BodyText"/>
      </w:pPr>
      <w:r>
        <w:t xml:space="preserve">The expense increase is expected to reflect higher personnel costs. Therefore, an EPS result near the $1.08 consensus would be consistent with the company’s guide: modestly better net interest income and a lower share count offset by higher expenses and a more normalized tax rate.</w:t>
      </w:r>
    </w:p>
    <w:bookmarkStart w:id="10" w:name="full-year-guidance-entering-the-report"/>
    <w:p>
      <w:pPr>
        <w:pStyle w:val="Heading3"/>
      </w:pPr>
      <w:r>
        <w:t xml:space="preserve">Full-year guidance entering the report</w:t>
      </w:r>
    </w:p>
    <w:p>
      <w:pPr>
        <w:pStyle w:val="Compact"/>
        <w:numPr>
          <w:ilvl w:val="0"/>
          <w:numId w:val="1001"/>
        </w:numPr>
      </w:pPr>
      <w:r>
        <w:rPr>
          <w:b/>
          <w:bCs/>
        </w:rPr>
        <w:t xml:space="preserve">Revenue growth:</w:t>
      </w:r>
      <w:r>
        <w:t xml:space="preserve"> </w:t>
      </w:r>
      <w:r>
        <w:t xml:space="preserve">Low end of 4%–5%</w:t>
      </w:r>
    </w:p>
    <w:p>
      <w:pPr>
        <w:pStyle w:val="Compact"/>
        <w:numPr>
          <w:ilvl w:val="0"/>
          <w:numId w:val="1001"/>
        </w:numPr>
      </w:pPr>
      <w:r>
        <w:rPr>
          <w:b/>
          <w:bCs/>
        </w:rPr>
        <w:t xml:space="preserve">Net interest income growth:</w:t>
      </w:r>
      <w:r>
        <w:t xml:space="preserve"> </w:t>
      </w:r>
      <w:r>
        <w:t xml:space="preserve">2%–3%</w:t>
      </w:r>
    </w:p>
    <w:p>
      <w:pPr>
        <w:pStyle w:val="Compact"/>
        <w:numPr>
          <w:ilvl w:val="0"/>
          <w:numId w:val="1001"/>
        </w:numPr>
      </w:pPr>
      <w:r>
        <w:rPr>
          <w:b/>
          <w:bCs/>
        </w:rPr>
        <w:t xml:space="preserve">Noninterest income growth:</w:t>
      </w:r>
      <w:r>
        <w:t xml:space="preserve"> </w:t>
      </w:r>
      <w:r>
        <w:t xml:space="preserve">High single digits</w:t>
      </w:r>
    </w:p>
    <w:p>
      <w:pPr>
        <w:pStyle w:val="Compact"/>
        <w:numPr>
          <w:ilvl w:val="0"/>
          <w:numId w:val="1001"/>
        </w:numPr>
      </w:pPr>
      <w:r>
        <w:rPr>
          <w:b/>
          <w:bCs/>
        </w:rPr>
        <w:t xml:space="preserve">GAAP expense growth:</w:t>
      </w:r>
      <w:r>
        <w:t xml:space="preserve"> </w:t>
      </w:r>
      <w:r>
        <w:t xml:space="preserve">Approximately 1.75%</w:t>
      </w:r>
    </w:p>
    <w:p>
      <w:pPr>
        <w:pStyle w:val="Compact"/>
        <w:numPr>
          <w:ilvl w:val="0"/>
          <w:numId w:val="1001"/>
        </w:numPr>
      </w:pPr>
      <w:r>
        <w:rPr>
          <w:b/>
          <w:bCs/>
        </w:rPr>
        <w:t xml:space="preserve">Average loan growth:</w:t>
      </w:r>
      <w:r>
        <w:t xml:space="preserve"> </w:t>
      </w:r>
      <w:r>
        <w:t xml:space="preserve">3%–4%</w:t>
      </w:r>
    </w:p>
    <w:p>
      <w:pPr>
        <w:pStyle w:val="Compact"/>
        <w:numPr>
          <w:ilvl w:val="0"/>
          <w:numId w:val="1001"/>
        </w:numPr>
      </w:pPr>
      <w:r>
        <w:rPr>
          <w:b/>
          <w:bCs/>
        </w:rPr>
        <w:t xml:space="preserve">Net charge-offs:</w:t>
      </w:r>
      <w:r>
        <w:t xml:space="preserve"> </w:t>
      </w:r>
      <w:r>
        <w:t xml:space="preserve">Approximately 55 basis points</w:t>
      </w:r>
    </w:p>
    <w:p>
      <w:pPr>
        <w:pStyle w:val="Compact"/>
        <w:numPr>
          <w:ilvl w:val="0"/>
          <w:numId w:val="1001"/>
        </w:numPr>
      </w:pPr>
      <w:r>
        <w:rPr>
          <w:b/>
          <w:bCs/>
        </w:rPr>
        <w:t xml:space="preserve">Effective tax rate:</w:t>
      </w:r>
      <w:r>
        <w:t xml:space="preserve"> </w:t>
      </w:r>
      <w:r>
        <w:t xml:space="preserve">Approximately 14.5%</w:t>
      </w:r>
    </w:p>
    <w:p>
      <w:pPr>
        <w:pStyle w:val="Compact"/>
        <w:numPr>
          <w:ilvl w:val="0"/>
          <w:numId w:val="1001"/>
        </w:numPr>
      </w:pPr>
      <w:r>
        <w:rPr>
          <w:b/>
          <w:bCs/>
        </w:rPr>
        <w:t xml:space="preserve">Share repurchases:</w:t>
      </w:r>
      <w:r>
        <w:t xml:space="preserve"> </w:t>
      </w:r>
      <w:r>
        <w:t xml:space="preserve">Approximately $5 billion</w:t>
      </w:r>
    </w:p>
    <w:p>
      <w:pPr>
        <w:pStyle w:val="Compact"/>
        <w:numPr>
          <w:ilvl w:val="0"/>
          <w:numId w:val="1001"/>
        </w:numPr>
      </w:pPr>
      <w:r>
        <w:rPr>
          <w:b/>
          <w:bCs/>
        </w:rPr>
        <w:t xml:space="preserve">ROTCE:</w:t>
      </w:r>
      <w:r>
        <w:t xml:space="preserve"> </w:t>
      </w:r>
      <w:r>
        <w:t xml:space="preserve">Approximately 14% in 2026 and 15% in 2027</w:t>
      </w:r>
    </w:p>
    <w:p>
      <w:pPr>
        <w:pStyle w:val="FirstParagraph"/>
      </w:pPr>
      <w:r>
        <w:t xml:space="preserve">The most important question is whether management can maintain—or improve—this framework despite competitive deposit pricing and a more uncertain interest-rate outlook.</w:t>
      </w:r>
    </w:p>
    <w:p>
      <w:r>
        <w:pict>
          <v:rect style="width:0;height:1.5pt" o:hralign="center" o:hrstd="t" o:hr="t"/>
        </w:pict>
      </w:r>
    </w:p>
    <w:bookmarkEnd w:id="10"/>
    <w:bookmarkEnd w:id="11"/>
    <w:bookmarkStart w:id="17" w:name="Xf8f556214a2571026b4de0d70d5637028787066"/>
    <w:p>
      <w:pPr>
        <w:pStyle w:val="Heading2"/>
      </w:pPr>
      <w:r>
        <w:t xml:space="preserve">Five issues that should determine the quarter</w:t>
      </w:r>
    </w:p>
    <w:bookmarkStart w:id="12" w:name="X8c2a0f6b9e956228adc91ef4cc7c93010a3dd30"/>
    <w:p>
      <w:pPr>
        <w:pStyle w:val="Heading3"/>
      </w:pPr>
      <w:r>
        <w:t xml:space="preserve">1. Net interest income and deposit pricing</w:t>
      </w:r>
    </w:p>
    <w:p>
      <w:pPr>
        <w:pStyle w:val="FirstParagraph"/>
      </w:pPr>
      <w:r>
        <w:t xml:space="preserve">Management expects Q2 net interest income to rise about 1%, aided by an additional calendar day and higher client deposit balances, while net interest margin should remain roughly stable around Q1’s</w:t>
      </w:r>
      <w:r>
        <w:t xml:space="preserve"> </w:t>
      </w:r>
      <w:r>
        <w:rPr>
          <w:b/>
          <w:bCs/>
        </w:rPr>
        <w:t xml:space="preserve">3.02%</w:t>
      </w:r>
      <w:r>
        <w:t xml:space="preserve">.</w:t>
      </w:r>
    </w:p>
    <w:p>
      <w:pPr>
        <w:pStyle w:val="BodyText"/>
      </w:pPr>
      <w:r>
        <w:t xml:space="preserve">The risk is deposit competition. During the first-quarter call, management cited increasing rate awareness and migration toward higher-yielding products. Q1 average deposits rose 0.7% sequentially, but the mix became more expensive:</w:t>
      </w:r>
    </w:p>
    <w:p>
      <w:pPr>
        <w:pStyle w:val="Compact"/>
        <w:numPr>
          <w:ilvl w:val="0"/>
          <w:numId w:val="1002"/>
        </w:numPr>
      </w:pPr>
      <w:r>
        <w:t xml:space="preserve">Noninterest-bearing deposits declined 2.1%.</w:t>
      </w:r>
    </w:p>
    <w:p>
      <w:pPr>
        <w:pStyle w:val="Compact"/>
        <w:numPr>
          <w:ilvl w:val="0"/>
          <w:numId w:val="1002"/>
        </w:numPr>
      </w:pPr>
      <w:r>
        <w:t xml:space="preserve">Interest-checking balances increased 6.9%.</w:t>
      </w:r>
    </w:p>
    <w:p>
      <w:pPr>
        <w:pStyle w:val="Compact"/>
        <w:numPr>
          <w:ilvl w:val="0"/>
          <w:numId w:val="1002"/>
        </w:numPr>
      </w:pPr>
      <w:r>
        <w:t xml:space="preserve">Noninterest-bearing deposits fell to 25.9% of total deposits from 26.7%.</w:t>
      </w:r>
    </w:p>
    <w:p>
      <w:pPr>
        <w:pStyle w:val="FirstParagraph"/>
      </w:pPr>
      <w:r>
        <w:t xml:space="preserve">Truist’s reported interest-rate sensitivity is close to neutral: its 12-month NII simulation indicated a slightly negative effect from either a 50-basis-point increase or decrease in rates. That makes</w:t>
      </w:r>
      <w:r>
        <w:t xml:space="preserve"> </w:t>
      </w:r>
      <w:r>
        <w:rPr>
          <w:b/>
          <w:bCs/>
        </w:rPr>
        <w:t xml:space="preserve">deposit mix, pricing and client acquisition</w:t>
      </w:r>
      <w:r>
        <w:t xml:space="preserve"> </w:t>
      </w:r>
      <w:r>
        <w:t xml:space="preserve">more important than simply whether rates move up or down.</w:t>
      </w:r>
    </w:p>
    <w:p>
      <w:pPr>
        <w:pStyle w:val="BodyText"/>
      </w:pPr>
      <w:r>
        <w:rPr>
          <w:b/>
          <w:bCs/>
        </w:rPr>
        <w:t xml:space="preserve">What investors want:</w:t>
      </w:r>
      <w:r>
        <w:t xml:space="preserve"> </w:t>
      </w:r>
      <w:r>
        <w:t xml:space="preserve">NII at least matching the 1% growth guide, stable or improving NIM, and evidence that deposit growth is not being purchased at unattractive rates.</w:t>
      </w:r>
    </w:p>
    <w:p>
      <w:r>
        <w:pict>
          <v:rect style="width:0;height:1.5pt" o:hralign="center" o:hrstd="t" o:hr="t"/>
        </w:pict>
      </w:r>
    </w:p>
    <w:bookmarkEnd w:id="12"/>
    <w:bookmarkStart w:id="13" w:name="Xabb3d746f58cd9b093f75e096cd11205c1377e7"/>
    <w:p>
      <w:pPr>
        <w:pStyle w:val="Heading3"/>
      </w:pPr>
      <w:r>
        <w:t xml:space="preserve">2. Loan growth must support the profitability targets</w:t>
      </w:r>
    </w:p>
    <w:p>
      <w:pPr>
        <w:pStyle w:val="FirstParagraph"/>
      </w:pPr>
      <w:r>
        <w:t xml:space="preserve">Average loans grew 0.7% sequentially in Q1 and 7% year over year, but the mix was uneven:</w:t>
      </w:r>
    </w:p>
    <w:p>
      <w:pPr>
        <w:pStyle w:val="Compact"/>
        <w:numPr>
          <w:ilvl w:val="0"/>
          <w:numId w:val="1003"/>
        </w:numPr>
      </w:pPr>
      <w:r>
        <w:t xml:space="preserve">Commercial loans:</w:t>
      </w:r>
      <w:r>
        <w:t xml:space="preserve"> </w:t>
      </w:r>
      <w:r>
        <w:rPr>
          <w:b/>
          <w:bCs/>
        </w:rPr>
        <w:t xml:space="preserve">+1.8% sequentially</w:t>
      </w:r>
    </w:p>
    <w:p>
      <w:pPr>
        <w:pStyle w:val="Compact"/>
        <w:numPr>
          <w:ilvl w:val="0"/>
          <w:numId w:val="1003"/>
        </w:numPr>
      </w:pPr>
      <w:r>
        <w:t xml:space="preserve">Consumer loans:</w:t>
      </w:r>
      <w:r>
        <w:t xml:space="preserve"> </w:t>
      </w:r>
      <w:r>
        <w:rPr>
          <w:b/>
          <w:bCs/>
        </w:rPr>
        <w:t xml:space="preserve">-0.9%</w:t>
      </w:r>
    </w:p>
    <w:p>
      <w:pPr>
        <w:pStyle w:val="Compact"/>
        <w:numPr>
          <w:ilvl w:val="0"/>
          <w:numId w:val="1003"/>
        </w:numPr>
      </w:pPr>
      <w:r>
        <w:t xml:space="preserve">Commercial real estate:</w:t>
      </w:r>
      <w:r>
        <w:t xml:space="preserve"> </w:t>
      </w:r>
      <w:r>
        <w:rPr>
          <w:b/>
          <w:bCs/>
        </w:rPr>
        <w:t xml:space="preserve">+4.1%</w:t>
      </w:r>
    </w:p>
    <w:p>
      <w:pPr>
        <w:pStyle w:val="Compact"/>
        <w:numPr>
          <w:ilvl w:val="0"/>
          <w:numId w:val="1003"/>
        </w:numPr>
      </w:pPr>
      <w:r>
        <w:t xml:space="preserve">Residential mortgage:</w:t>
      </w:r>
      <w:r>
        <w:t xml:space="preserve"> </w:t>
      </w:r>
      <w:r>
        <w:rPr>
          <w:b/>
          <w:bCs/>
        </w:rPr>
        <w:t xml:space="preserve">-1.1%</w:t>
      </w:r>
    </w:p>
    <w:p>
      <w:pPr>
        <w:pStyle w:val="Compact"/>
        <w:numPr>
          <w:ilvl w:val="0"/>
          <w:numId w:val="1003"/>
        </w:numPr>
      </w:pPr>
      <w:r>
        <w:t xml:space="preserve">Indirect auto:</w:t>
      </w:r>
      <w:r>
        <w:t xml:space="preserve"> </w:t>
      </w:r>
      <w:r>
        <w:rPr>
          <w:b/>
          <w:bCs/>
        </w:rPr>
        <w:t xml:space="preserve">-1.2%</w:t>
      </w:r>
    </w:p>
    <w:p>
      <w:pPr>
        <w:pStyle w:val="FirstParagraph"/>
      </w:pPr>
      <w:r>
        <w:t xml:space="preserve">Management continues to target 3%–4% average loan growth for 2026, led by commercial lending and higher-return specialty consumer products such as Sheffield, Service Finance and LightStream. The second quarter should seasonally benefit those specialty portfolios.</w:t>
      </w:r>
    </w:p>
    <w:p>
      <w:pPr>
        <w:pStyle w:val="BodyText"/>
      </w:pPr>
      <w:r>
        <w:t xml:space="preserve">Execution is particularly important because Truist’s return targets assume both balance-sheet growth and margin improvement. Weak loan growth would raise questions about whether the bank can produce its targeted revenue growth without relying excessively on capital markets activity, tax benefits or buybacks.</w:t>
      </w:r>
    </w:p>
    <w:p>
      <w:pPr>
        <w:pStyle w:val="BodyText"/>
      </w:pPr>
      <w:r>
        <w:rPr>
          <w:b/>
          <w:bCs/>
        </w:rPr>
        <w:t xml:space="preserve">What investors want:</w:t>
      </w:r>
      <w:r>
        <w:t xml:space="preserve"> </w:t>
      </w:r>
      <w:r>
        <w:t xml:space="preserve">Continued commercial growth, an acceleration in specialty consumer production, and loans accompanied by deposits and fee-generating relationships—not volume obtained through aggressive pricing.</w:t>
      </w:r>
    </w:p>
    <w:p>
      <w:r>
        <w:pict>
          <v:rect style="width:0;height:1.5pt" o:hralign="center" o:hrstd="t" o:hr="t"/>
        </w:pict>
      </w:r>
    </w:p>
    <w:bookmarkEnd w:id="13"/>
    <w:bookmarkStart w:id="14" w:name="X3fc1c46f204af0aa0d28446834e6c438abf67dc"/>
    <w:p>
      <w:pPr>
        <w:pStyle w:val="Heading3"/>
      </w:pPr>
      <w:r>
        <w:t xml:space="preserve">3. Can fee income remain a source of upside?</w:t>
      </w:r>
    </w:p>
    <w:p>
      <w:pPr>
        <w:pStyle w:val="FirstParagraph"/>
      </w:pPr>
      <w:r>
        <w:t xml:space="preserve">First-quarter noninterest income rose 12% year over year, led by:</w:t>
      </w:r>
    </w:p>
    <w:p>
      <w:pPr>
        <w:pStyle w:val="Compact"/>
        <w:numPr>
          <w:ilvl w:val="0"/>
          <w:numId w:val="1004"/>
        </w:numPr>
      </w:pPr>
      <w:r>
        <w:t xml:space="preserve">Investment banking and trading:</w:t>
      </w:r>
      <w:r>
        <w:t xml:space="preserve"> </w:t>
      </w:r>
      <w:r>
        <w:rPr>
          <w:b/>
          <w:bCs/>
        </w:rPr>
        <w:t xml:space="preserve">+36%</w:t>
      </w:r>
    </w:p>
    <w:p>
      <w:pPr>
        <w:pStyle w:val="Compact"/>
        <w:numPr>
          <w:ilvl w:val="0"/>
          <w:numId w:val="1004"/>
        </w:numPr>
      </w:pPr>
      <w:r>
        <w:t xml:space="preserve">Mortgage banking:</w:t>
      </w:r>
      <w:r>
        <w:t xml:space="preserve"> </w:t>
      </w:r>
      <w:r>
        <w:rPr>
          <w:b/>
          <w:bCs/>
        </w:rPr>
        <w:t xml:space="preserve">+23%</w:t>
      </w:r>
    </w:p>
    <w:p>
      <w:pPr>
        <w:pStyle w:val="Compact"/>
        <w:numPr>
          <w:ilvl w:val="0"/>
          <w:numId w:val="1004"/>
        </w:numPr>
      </w:pPr>
      <w:r>
        <w:t xml:space="preserve">Lending-related fees:</w:t>
      </w:r>
      <w:r>
        <w:t xml:space="preserve"> </w:t>
      </w:r>
      <w:r>
        <w:rPr>
          <w:b/>
          <w:bCs/>
        </w:rPr>
        <w:t xml:space="preserve">+24%</w:t>
      </w:r>
    </w:p>
    <w:p>
      <w:pPr>
        <w:pStyle w:val="Compact"/>
        <w:numPr>
          <w:ilvl w:val="0"/>
          <w:numId w:val="1004"/>
        </w:numPr>
      </w:pPr>
      <w:r>
        <w:t xml:space="preserve">Wealth management:</w:t>
      </w:r>
      <w:r>
        <w:t xml:space="preserve"> </w:t>
      </w:r>
      <w:r>
        <w:rPr>
          <w:b/>
          <w:bCs/>
        </w:rPr>
        <w:t xml:space="preserve">+8%</w:t>
      </w:r>
    </w:p>
    <w:p>
      <w:pPr>
        <w:pStyle w:val="FirstParagraph"/>
      </w:pPr>
      <w:r>
        <w:t xml:space="preserve">Management nevertheless guided investment banking and trading revenue lower in Q2, resulting in an expected 1% sequential decline in total fees.</w:t>
      </w:r>
    </w:p>
    <w:p>
      <w:pPr>
        <w:pStyle w:val="BodyText"/>
      </w:pPr>
      <w:r>
        <w:t xml:space="preserve">Recent peer results offer a favorable read-through. PNC reported strong capital markets and advisory activity, while U.S. Bancorp delivered broad fee growth. Truist’s Q1 investment banking pipeline was also described as healthy, with increasing connectivity to commercial and wealth-management clients.</w:t>
      </w:r>
    </w:p>
    <w:p>
      <w:pPr>
        <w:pStyle w:val="BodyText"/>
      </w:pPr>
      <w:r>
        <w:t xml:space="preserve">This creates a plausible source of upside: investment banking and trading revenue may decline less than expected, while wealth, mortgage and treasury-management fees could provide support.</w:t>
      </w:r>
    </w:p>
    <w:p>
      <w:pPr>
        <w:pStyle w:val="BodyText"/>
      </w:pPr>
      <w:r>
        <w:rPr>
          <w:b/>
          <w:bCs/>
        </w:rPr>
        <w:t xml:space="preserve">What investors want:</w:t>
      </w:r>
      <w:r>
        <w:t xml:space="preserve"> </w:t>
      </w:r>
      <w:r>
        <w:t xml:space="preserve">Fee income at least close to Q1’s $1.55 billion, with strength tied to recurring client activity rather than unusually strong trading results.</w:t>
      </w:r>
    </w:p>
    <w:p>
      <w:r>
        <w:pict>
          <v:rect style="width:0;height:1.5pt" o:hralign="center" o:hrstd="t" o:hr="t"/>
        </w:pict>
      </w:r>
    </w:p>
    <w:bookmarkEnd w:id="14"/>
    <w:bookmarkStart w:id="15" w:name="Xa784d033a8cc157fb2ceffd988b9d066eec8986"/>
    <w:p>
      <w:pPr>
        <w:pStyle w:val="Heading3"/>
      </w:pPr>
      <w:r>
        <w:t xml:space="preserve">4. Expense control and positive operating leverage</w:t>
      </w:r>
    </w:p>
    <w:p>
      <w:pPr>
        <w:pStyle w:val="FirstParagraph"/>
      </w:pPr>
      <w:r>
        <w:t xml:space="preserve">Truist produced 250 basis points of year-over-year positive operating leverage in Q1, but second-quarter expenses are expected to rise 3%–4% sequentially to roughly</w:t>
      </w:r>
      <w:r>
        <w:t xml:space="preserve"> </w:t>
      </w:r>
      <m:oMath>
        <m:r>
          <m:t>3.07</m:t>
        </m:r>
        <m:r>
          <m:t>b</m:t>
        </m:r>
        <m:r>
          <m:t>i</m:t>
        </m:r>
        <m:r>
          <m:t>l</m:t>
        </m:r>
        <m:r>
          <m:t>l</m:t>
        </m:r>
        <m:r>
          <m:t>i</m:t>
        </m:r>
        <m:r>
          <m:t>o</m:t>
        </m:r>
        <m:r>
          <m:t>n</m:t>
        </m:r>
        <m:r>
          <m:rPr>
            <m:sty m:val="p"/>
          </m:rPr>
          <m:t>–</m:t>
        </m:r>
      </m:oMath>
      <w:r>
        <w:t xml:space="preserve">3.09 billion.</w:t>
      </w:r>
    </w:p>
    <w:p>
      <w:pPr>
        <w:pStyle w:val="BodyText"/>
      </w:pPr>
      <w:r>
        <w:t xml:space="preserve">The bank is simultaneously investing in:</w:t>
      </w:r>
    </w:p>
    <w:p>
      <w:pPr>
        <w:pStyle w:val="Compact"/>
        <w:numPr>
          <w:ilvl w:val="0"/>
          <w:numId w:val="1005"/>
        </w:numPr>
      </w:pPr>
      <w:r>
        <w:t xml:space="preserve">Revenue-producing bankers</w:t>
      </w:r>
    </w:p>
    <w:p>
      <w:pPr>
        <w:pStyle w:val="Compact"/>
        <w:numPr>
          <w:ilvl w:val="0"/>
          <w:numId w:val="1005"/>
        </w:numPr>
      </w:pPr>
      <w:r>
        <w:t xml:space="preserve">Technology and operations</w:t>
      </w:r>
    </w:p>
    <w:p>
      <w:pPr>
        <w:pStyle w:val="Compact"/>
        <w:numPr>
          <w:ilvl w:val="0"/>
          <w:numId w:val="1005"/>
        </w:numPr>
      </w:pPr>
      <w:r>
        <w:t xml:space="preserve">Risk and regulatory infrastructure</w:t>
      </w:r>
    </w:p>
    <w:p>
      <w:pPr>
        <w:pStyle w:val="Compact"/>
        <w:numPr>
          <w:ilvl w:val="0"/>
          <w:numId w:val="1005"/>
        </w:numPr>
      </w:pPr>
      <w:r>
        <w:t xml:space="preserve">Digital client acquisition</w:t>
      </w:r>
    </w:p>
    <w:p>
      <w:pPr>
        <w:pStyle w:val="Compact"/>
        <w:numPr>
          <w:ilvl w:val="0"/>
          <w:numId w:val="1005"/>
        </w:numPr>
      </w:pPr>
      <w:r>
        <w:t xml:space="preserve">Artificial intelligence and process automation</w:t>
      </w:r>
    </w:p>
    <w:p>
      <w:pPr>
        <w:pStyle w:val="FirstParagraph"/>
      </w:pPr>
      <w:r>
        <w:t xml:space="preserve">Investors have generally credited Truist for expense discipline, but its longer-term 16%–18% ROTCE target requires continued operating leverage. An expense miss would therefore matter more than a similarly sized revenue beat.</w:t>
      </w:r>
    </w:p>
    <w:p>
      <w:pPr>
        <w:pStyle w:val="BodyText"/>
      </w:pPr>
      <w:r>
        <w:rPr>
          <w:b/>
          <w:bCs/>
        </w:rPr>
        <w:t xml:space="preserve">What investors want:</w:t>
      </w:r>
      <w:r>
        <w:t xml:space="preserve"> </w:t>
      </w:r>
      <w:r>
        <w:t xml:space="preserve">Expenses near the low end of guidance and continued confidence in the approximately 1.75% full-year growth target. Any early quantification of AI-related productivity benefits would be a positive, although management previously said it was too soon to provide precise estimates.</w:t>
      </w:r>
    </w:p>
    <w:p>
      <w:r>
        <w:pict>
          <v:rect style="width:0;height:1.5pt" o:hralign="center" o:hrstd="t" o:hr="t"/>
        </w:pict>
      </w:r>
    </w:p>
    <w:bookmarkEnd w:id="15"/>
    <w:bookmarkStart w:id="16" w:name="X3fea29ff23ec9b1f3f99a23e3239395752aeff1"/>
    <w:p>
      <w:pPr>
        <w:pStyle w:val="Heading3"/>
      </w:pPr>
      <w:r>
        <w:t xml:space="preserve">5. Credit should remain manageable—but needs watching</w:t>
      </w:r>
    </w:p>
    <w:p>
      <w:pPr>
        <w:pStyle w:val="FirstParagraph"/>
      </w:pPr>
      <w:r>
        <w:t xml:space="preserve">First-quarter credit metrics were broadly stable: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Q1 2026</w:t>
            </w:r>
          </w:p>
        </w:tc>
      </w:tr>
      <w:tr>
        <w:tc>
          <w:tcPr/>
          <w:p>
            <w:pPr>
              <w:pStyle w:val="Compact"/>
            </w:pPr>
            <w:r>
              <w:t xml:space="preserve">Net charge-off ratio</w:t>
            </w:r>
          </w:p>
        </w:tc>
        <w:tc>
          <w:tcPr/>
          <w:p>
            <w:pPr>
              <w:pStyle w:val="Compact"/>
              <w:jc w:val="right"/>
            </w:pPr>
            <w:r>
              <w:t xml:space="preserve">0.61%</w:t>
            </w:r>
          </w:p>
        </w:tc>
      </w:tr>
      <w:tr>
        <w:tc>
          <w:tcPr/>
          <w:p>
            <w:pPr>
              <w:pStyle w:val="Compact"/>
            </w:pPr>
            <w:r>
              <w:t xml:space="preserve">Full-year NCO guidance</w:t>
            </w:r>
          </w:p>
        </w:tc>
        <w:tc>
          <w:tcPr/>
          <w:p>
            <w:pPr>
              <w:pStyle w:val="Compact"/>
              <w:jc w:val="right"/>
            </w:pPr>
            <w:r>
              <w:t xml:space="preserve">Approximately 0.55%</w:t>
            </w:r>
          </w:p>
        </w:tc>
      </w:tr>
      <w:tr>
        <w:tc>
          <w:tcPr/>
          <w:p>
            <w:pPr>
              <w:pStyle w:val="Compact"/>
            </w:pPr>
            <w:r>
              <w:t xml:space="preserve">Nonperforming loans / loans</w:t>
            </w:r>
          </w:p>
        </w:tc>
        <w:tc>
          <w:tcPr/>
          <w:p>
            <w:pPr>
              <w:pStyle w:val="Compact"/>
              <w:jc w:val="right"/>
            </w:pPr>
            <w:r>
              <w:t xml:space="preserve">0.50%</w:t>
            </w:r>
          </w:p>
        </w:tc>
      </w:tr>
      <w:tr>
        <w:tc>
          <w:tcPr/>
          <w:p>
            <w:pPr>
              <w:pStyle w:val="Compact"/>
            </w:pPr>
            <w:r>
              <w:t xml:space="preserve">Allowance / loans</w:t>
            </w:r>
          </w:p>
        </w:tc>
        <w:tc>
          <w:tcPr/>
          <w:p>
            <w:pPr>
              <w:pStyle w:val="Compact"/>
              <w:jc w:val="right"/>
            </w:pPr>
            <w:r>
              <w:t xml:space="preserve">1.53%</w:t>
            </w:r>
          </w:p>
        </w:tc>
      </w:tr>
      <w:tr>
        <w:tc>
          <w:tcPr/>
          <w:p>
            <w:pPr>
              <w:pStyle w:val="Compact"/>
            </w:pPr>
            <w:r>
              <w:t xml:space="preserve">Provision for credit losses</w:t>
            </w:r>
          </w:p>
        </w:tc>
        <w:tc>
          <w:tcPr/>
          <w:p>
            <w:pPr>
              <w:pStyle w:val="Compact"/>
              <w:jc w:val="right"/>
            </w:pPr>
            <w:r>
              <w:t xml:space="preserve">$479M</w:t>
            </w:r>
          </w:p>
        </w:tc>
      </w:tr>
    </w:tbl>
    <w:p>
      <w:pPr>
        <w:pStyle w:val="BodyText"/>
      </w:pPr>
      <w:r>
        <w:t xml:space="preserve">The 61-basis-point Q1 charge-off rate was above the full-year guide, partly because of higher commercial-construction losses. Consumer loss rates also remain elevated:</w:t>
      </w:r>
    </w:p>
    <w:p>
      <w:pPr>
        <w:pStyle w:val="Compact"/>
        <w:numPr>
          <w:ilvl w:val="0"/>
          <w:numId w:val="1006"/>
        </w:numPr>
      </w:pPr>
      <w:r>
        <w:t xml:space="preserve">Indirect auto: 2.14%</w:t>
      </w:r>
    </w:p>
    <w:p>
      <w:pPr>
        <w:pStyle w:val="Compact"/>
        <w:numPr>
          <w:ilvl w:val="0"/>
          <w:numId w:val="1006"/>
        </w:numPr>
      </w:pPr>
      <w:r>
        <w:t xml:space="preserve">Other consumer: 1.91%</w:t>
      </w:r>
    </w:p>
    <w:p>
      <w:pPr>
        <w:pStyle w:val="Compact"/>
        <w:numPr>
          <w:ilvl w:val="0"/>
          <w:numId w:val="1006"/>
        </w:numPr>
      </w:pPr>
      <w:r>
        <w:t xml:space="preserve">Credit card: 5.15%</w:t>
      </w:r>
    </w:p>
    <w:p>
      <w:pPr>
        <w:pStyle w:val="FirstParagraph"/>
      </w:pPr>
      <w:r>
        <w:t xml:space="preserve">Conversely, conventional commercial real estate performance has improved. CRE nonperforming loans declined to $21 million in Q1 from $47 million at year-end, while office CRE represented less than 1% of total loans.</w:t>
      </w:r>
    </w:p>
    <w:p>
      <w:pPr>
        <w:pStyle w:val="BodyText"/>
      </w:pPr>
      <w:r>
        <w:t xml:space="preserve">Investors will also scrutinize Truist’s nondepository financial institution exposure, which represented approximately 12% of loans in Q1. Management says this portfolio is diversified, conservatively structured and protected by borrowing bases, collateral and meaningful borrower equity.</w:t>
      </w:r>
    </w:p>
    <w:p>
      <w:pPr>
        <w:pStyle w:val="BodyText"/>
      </w:pPr>
      <w:r>
        <w:rPr>
          <w:b/>
          <w:bCs/>
        </w:rPr>
        <w:t xml:space="preserve">What investors want:</w:t>
      </w:r>
      <w:r>
        <w:t xml:space="preserve"> </w:t>
      </w:r>
      <w:r>
        <w:t xml:space="preserve">Charge-offs moving toward the mid-50-basis-point range, limited reserve building, and no meaningful deterioration in commercial, specialty consumer or private-credit-related exposures.</w:t>
      </w:r>
    </w:p>
    <w:p>
      <w:r>
        <w:pict>
          <v:rect style="width:0;height:1.5pt" o:hralign="center" o:hrstd="t" o:hr="t"/>
        </w:pict>
      </w:r>
    </w:p>
    <w:bookmarkEnd w:id="16"/>
    <w:bookmarkEnd w:id="17"/>
    <w:bookmarkStart w:id="18" w:name="Xa90f27c6805df357c4dbb8b663ba13c35aa151e"/>
    <w:p>
      <w:pPr>
        <w:pStyle w:val="Heading2"/>
      </w:pPr>
      <w:r>
        <w:t xml:space="preserve">Capital return remains an important EPS lever</w:t>
      </w:r>
    </w:p>
    <w:p>
      <w:pPr>
        <w:pStyle w:val="FirstParagraph"/>
      </w:pPr>
      <w:r>
        <w:t xml:space="preserve">Truist repurchased</w:t>
      </w:r>
      <w:r>
        <w:t xml:space="preserve"> </w:t>
      </w:r>
      <m:oMath>
        <m:r>
          <m:t>1.1</m:t>
        </m:r>
        <m:r>
          <m:t>b</m:t>
        </m:r>
        <m:r>
          <m:t>i</m:t>
        </m:r>
        <m:r>
          <m:t>l</m:t>
        </m:r>
        <m:r>
          <m:t>l</m:t>
        </m:r>
        <m:r>
          <m:t>i</m:t>
        </m:r>
        <m:r>
          <m:t>o</m:t>
        </m:r>
        <m:r>
          <m:t>n</m:t>
        </m:r>
        <m:r>
          <m:t>o</m:t>
        </m:r>
        <m:r>
          <m:t>f</m:t>
        </m:r>
        <m:r>
          <m:t>s</m:t>
        </m:r>
        <m:r>
          <m:t>t</m:t>
        </m:r>
        <m:r>
          <m:t>o</m:t>
        </m:r>
        <m:r>
          <m:t>c</m:t>
        </m:r>
        <m:r>
          <m:t>k</m:t>
        </m:r>
        <m:r>
          <m:t>i</m:t>
        </m:r>
        <m:r>
          <m:t>n</m:t>
        </m:r>
        <m:r>
          <m:t>Q</m:t>
        </m:r>
        <m:r>
          <m:t>1</m:t>
        </m:r>
        <m:r>
          <m:t>a</m:t>
        </m:r>
        <m:r>
          <m:t>n</m:t>
        </m:r>
        <m:r>
          <m:t>d</m:t>
        </m:r>
        <m:r>
          <m:t>d</m:t>
        </m:r>
        <m:r>
          <m:t>i</m:t>
        </m:r>
        <m:r>
          <m:t>s</m:t>
        </m:r>
        <m:r>
          <m:t>c</m:t>
        </m:r>
        <m:r>
          <m:t>l</m:t>
        </m:r>
        <m:r>
          <m:t>o</m:t>
        </m:r>
        <m:r>
          <m:t>s</m:t>
        </m:r>
        <m:r>
          <m:t>e</m:t>
        </m:r>
        <m:r>
          <m:t>d</m:t>
        </m:r>
        <m:r>
          <m:t>a</m:t>
        </m:r>
        <m:r>
          <m:t>n</m:t>
        </m:r>
        <m:r>
          <m:t>o</m:t>
        </m:r>
        <m:r>
          <m:t>t</m:t>
        </m:r>
        <m:r>
          <m:t>h</m:t>
        </m:r>
        <m:r>
          <m:t>e</m:t>
        </m:r>
        <m:r>
          <m:t>r</m:t>
        </m:r>
        <m:r>
          <m:rPr>
            <m:sty m:val="p"/>
          </m:rPr>
          <m:t>*</m:t>
        </m:r>
        <m:r>
          <m:rPr>
            <m:sty m:val="p"/>
          </m:rPr>
          <m:t>*</m:t>
        </m:r>
      </m:oMath>
      <w:r>
        <w:t xml:space="preserve">1.2 billion of purchases in April**, effectively satisfying its Q2 target early. That puts the company at approximately $2.3 billion of repurchases through April against its $5 billion full-year objective.</w:t>
      </w:r>
    </w:p>
    <w:p>
      <w:pPr>
        <w:pStyle w:val="BodyText"/>
      </w:pPr>
      <w:r>
        <w:t xml:space="preserve">The CET1 ratio was 10.8% at the end of Q1, while management ultimately intends to operate closer to 10%. Proposed regulatory-capital changes could release additional capital, although final rules and timing remain uncertain.</w:t>
      </w:r>
    </w:p>
    <w:p>
      <w:pPr>
        <w:pStyle w:val="BodyText"/>
      </w:pPr>
      <w:r>
        <w:t xml:space="preserve">Continued buybacks should support EPS and ROTCE, but investors should distinguish between:</w:t>
      </w:r>
    </w:p>
    <w:p>
      <w:pPr>
        <w:pStyle w:val="Compact"/>
        <w:numPr>
          <w:ilvl w:val="0"/>
          <w:numId w:val="1007"/>
        </w:numPr>
      </w:pPr>
      <w:r>
        <w:rPr>
          <w:b/>
          <w:bCs/>
        </w:rPr>
        <w:t xml:space="preserve">Organic improvement:</w:t>
      </w:r>
      <w:r>
        <w:t xml:space="preserve"> </w:t>
      </w:r>
      <w:r>
        <w:t xml:space="preserve">Higher revenue, better margins and operating leverage.</w:t>
      </w:r>
    </w:p>
    <w:p>
      <w:pPr>
        <w:pStyle w:val="Compact"/>
        <w:numPr>
          <w:ilvl w:val="0"/>
          <w:numId w:val="1007"/>
        </w:numPr>
      </w:pPr>
      <w:r>
        <w:rPr>
          <w:b/>
          <w:bCs/>
        </w:rPr>
        <w:t xml:space="preserve">Financial improvement:</w:t>
      </w:r>
      <w:r>
        <w:t xml:space="preserve"> </w:t>
      </w:r>
      <w:r>
        <w:t xml:space="preserve">A lower share count and favorable tax credits.</w:t>
      </w:r>
    </w:p>
    <w:p>
      <w:pPr>
        <w:pStyle w:val="FirstParagraph"/>
      </w:pPr>
      <w:r>
        <w:t xml:space="preserve">The best result would demonstrate both.</w:t>
      </w:r>
    </w:p>
    <w:p>
      <w:r>
        <w:pict>
          <v:rect style="width:0;height:1.5pt" o:hralign="center" o:hrstd="t" o:hr="t"/>
        </w:pict>
      </w:r>
    </w:p>
    <w:bookmarkEnd w:id="18"/>
    <w:bookmarkStart w:id="19" w:name="X41a09469979fb95e55f99f480833e97722f2717"/>
    <w:p>
      <w:pPr>
        <w:pStyle w:val="Heading2"/>
      </w:pPr>
      <w:r>
        <w:t xml:space="preserve">The CEO transition: what can realistically be learned Friday?</w:t>
      </w:r>
    </w:p>
    <w:p>
      <w:pPr>
        <w:pStyle w:val="FirstParagraph"/>
      </w:pPr>
      <w:r>
        <w:t xml:space="preserve">Lyons’ appointment has created expectations for greater execution intensity and possibly renewed emphasis on retail deposits, payments and wholesale banking. His PNC and Fiserv background suggests he could bring a mix of banking, technology and payments experience.</w:t>
      </w:r>
    </w:p>
    <w:p>
      <w:pPr>
        <w:pStyle w:val="BodyText"/>
      </w:pPr>
      <w:r>
        <w:t xml:space="preserve">However, because he does not officially begin until September 1 and will not participate in this call, investors should not expect a detailed strategic reset. The more realistic questions for Rogers are:</w:t>
      </w:r>
    </w:p>
    <w:p>
      <w:pPr>
        <w:pStyle w:val="Compact"/>
        <w:numPr>
          <w:ilvl w:val="0"/>
          <w:numId w:val="1008"/>
        </w:numPr>
      </w:pPr>
      <w:r>
        <w:t xml:space="preserve">Does Lyons support the existing 2026–2027 targets?</w:t>
      </w:r>
    </w:p>
    <w:p>
      <w:pPr>
        <w:pStyle w:val="Compact"/>
        <w:numPr>
          <w:ilvl w:val="0"/>
          <w:numId w:val="1008"/>
        </w:numPr>
      </w:pPr>
      <w:r>
        <w:t xml:space="preserve">Will the transition affect current hiring, investment or buyback plans?</w:t>
      </w:r>
    </w:p>
    <w:p>
      <w:pPr>
        <w:pStyle w:val="Compact"/>
        <w:numPr>
          <w:ilvl w:val="0"/>
          <w:numId w:val="1008"/>
        </w:numPr>
      </w:pPr>
      <w:r>
        <w:t xml:space="preserve">Are the 16%–18% long-term ROTCE targets still appropriate?</w:t>
      </w:r>
    </w:p>
    <w:p>
      <w:pPr>
        <w:pStyle w:val="Compact"/>
        <w:numPr>
          <w:ilvl w:val="0"/>
          <w:numId w:val="1008"/>
        </w:numPr>
      </w:pPr>
      <w:r>
        <w:t xml:space="preserve">Is bank M&amp;A still not a priority?</w:t>
      </w:r>
    </w:p>
    <w:p>
      <w:pPr>
        <w:pStyle w:val="Compact"/>
        <w:numPr>
          <w:ilvl w:val="0"/>
          <w:numId w:val="1008"/>
        </w:numPr>
      </w:pPr>
      <w:r>
        <w:t xml:space="preserve">When should investors expect a fuller strategy update?</w:t>
      </w:r>
    </w:p>
    <w:p>
      <w:pPr>
        <w:pStyle w:val="FirstParagraph"/>
      </w:pPr>
      <w:r>
        <w:t xml:space="preserve">A reaffirmation of current targets would reduce transition risk. Vague answers suggesting that all financial objectives are under review could create uncertainty, even if the quarter itself is solid.</w:t>
      </w:r>
    </w:p>
    <w:p>
      <w:r>
        <w:pict>
          <v:rect style="width:0;height:1.5pt" o:hralign="center" o:hrstd="t" o:hr="t"/>
        </w:pict>
      </w:r>
    </w:p>
    <w:bookmarkEnd w:id="19"/>
    <w:bookmarkStart w:id="23" w:name="bull-base-and-bear-setups"/>
    <w:p>
      <w:pPr>
        <w:pStyle w:val="Heading2"/>
      </w:pPr>
      <w:r>
        <w:t xml:space="preserve">Bull, base and bear setups</w:t>
      </w:r>
    </w:p>
    <w:bookmarkStart w:id="20" w:name="bull-case"/>
    <w:p>
      <w:pPr>
        <w:pStyle w:val="Heading3"/>
      </w:pPr>
      <w:r>
        <w:t xml:space="preserve">Bull case</w:t>
      </w:r>
    </w:p>
    <w:p>
      <w:pPr>
        <w:pStyle w:val="Compact"/>
        <w:numPr>
          <w:ilvl w:val="0"/>
          <w:numId w:val="1009"/>
        </w:numPr>
      </w:pPr>
      <w:r>
        <w:t xml:space="preserve">EPS comfortably exceeds $1.08.</w:t>
      </w:r>
    </w:p>
    <w:p>
      <w:pPr>
        <w:pStyle w:val="Compact"/>
        <w:numPr>
          <w:ilvl w:val="0"/>
          <w:numId w:val="1009"/>
        </w:numPr>
      </w:pPr>
      <w:r>
        <w:t xml:space="preserve">NII grows at least 1% and NIM is stable to higher.</w:t>
      </w:r>
    </w:p>
    <w:p>
      <w:pPr>
        <w:pStyle w:val="Compact"/>
        <w:numPr>
          <w:ilvl w:val="0"/>
          <w:numId w:val="1009"/>
        </w:numPr>
      </w:pPr>
      <w:r>
        <w:t xml:space="preserve">Fee income is flat or better rather than down 1%.</w:t>
      </w:r>
    </w:p>
    <w:p>
      <w:pPr>
        <w:pStyle w:val="Compact"/>
        <w:numPr>
          <w:ilvl w:val="0"/>
          <w:numId w:val="1009"/>
        </w:numPr>
      </w:pPr>
      <w:r>
        <w:t xml:space="preserve">Expenses land near the low end of guidance.</w:t>
      </w:r>
    </w:p>
    <w:p>
      <w:pPr>
        <w:pStyle w:val="Compact"/>
        <w:numPr>
          <w:ilvl w:val="0"/>
          <w:numId w:val="1009"/>
        </w:numPr>
      </w:pPr>
      <w:r>
        <w:t xml:space="preserve">Charge-offs decline toward the mid-50s.</w:t>
      </w:r>
    </w:p>
    <w:p>
      <w:pPr>
        <w:pStyle w:val="Compact"/>
        <w:numPr>
          <w:ilvl w:val="0"/>
          <w:numId w:val="1009"/>
        </w:numPr>
      </w:pPr>
      <w:r>
        <w:t xml:space="preserve">Full-year revenue, loan and buyback guidance is maintained or raised.</w:t>
      </w:r>
    </w:p>
    <w:p>
      <w:pPr>
        <w:pStyle w:val="Compact"/>
        <w:numPr>
          <w:ilvl w:val="0"/>
          <w:numId w:val="1009"/>
        </w:numPr>
      </w:pPr>
      <w:r>
        <w:t xml:space="preserve">Management clearly endorses strategic continuity through the CEO transition.</w:t>
      </w:r>
    </w:p>
    <w:bookmarkEnd w:id="20"/>
    <w:bookmarkStart w:id="21" w:name="base-case"/>
    <w:p>
      <w:pPr>
        <w:pStyle w:val="Heading3"/>
      </w:pPr>
      <w:r>
        <w:t xml:space="preserve">Base case</w:t>
      </w:r>
    </w:p>
    <w:p>
      <w:pPr>
        <w:pStyle w:val="Compact"/>
        <w:numPr>
          <w:ilvl w:val="0"/>
          <w:numId w:val="1010"/>
        </w:numPr>
      </w:pPr>
      <w:r>
        <w:t xml:space="preserve">EPS of approximately</w:t>
      </w:r>
      <w:r>
        <w:t xml:space="preserve"> </w:t>
      </w:r>
      <m:oMath>
        <m:r>
          <m:t>1.07</m:t>
        </m:r>
        <m:r>
          <m:rPr>
            <m:sty m:val="p"/>
          </m:rPr>
          <m:t>–</m:t>
        </m:r>
      </m:oMath>
      <w:r>
        <w:t xml:space="preserve">1.10.</w:t>
      </w:r>
    </w:p>
    <w:p>
      <w:pPr>
        <w:pStyle w:val="Compact"/>
        <w:numPr>
          <w:ilvl w:val="0"/>
          <w:numId w:val="1010"/>
        </w:numPr>
      </w:pPr>
      <w:r>
        <w:t xml:space="preserve">Revenue close to $5.2 billion.</w:t>
      </w:r>
    </w:p>
    <w:p>
      <w:pPr>
        <w:pStyle w:val="Compact"/>
        <w:numPr>
          <w:ilvl w:val="0"/>
          <w:numId w:val="1010"/>
        </w:numPr>
      </w:pPr>
      <w:r>
        <w:t xml:space="preserve">NII increases about 1%; fees decline modestly.</w:t>
      </w:r>
    </w:p>
    <w:p>
      <w:pPr>
        <w:pStyle w:val="Compact"/>
        <w:numPr>
          <w:ilvl w:val="0"/>
          <w:numId w:val="1010"/>
        </w:numPr>
      </w:pPr>
      <w:r>
        <w:t xml:space="preserve">Expenses rise 3%–4%.</w:t>
      </w:r>
    </w:p>
    <w:p>
      <w:pPr>
        <w:pStyle w:val="Compact"/>
        <w:numPr>
          <w:ilvl w:val="0"/>
          <w:numId w:val="1010"/>
        </w:numPr>
      </w:pPr>
      <w:r>
        <w:t xml:space="preserve">Credit remains stable but charge-offs stay near 60 basis points.</w:t>
      </w:r>
    </w:p>
    <w:p>
      <w:pPr>
        <w:pStyle w:val="Compact"/>
        <w:numPr>
          <w:ilvl w:val="0"/>
          <w:numId w:val="1010"/>
        </w:numPr>
      </w:pPr>
      <w:r>
        <w:t xml:space="preserve">Full-year guidance is reiterated.</w:t>
      </w:r>
    </w:p>
    <w:p>
      <w:pPr>
        <w:pStyle w:val="Compact"/>
        <w:numPr>
          <w:ilvl w:val="0"/>
          <w:numId w:val="1010"/>
        </w:numPr>
      </w:pPr>
      <w:r>
        <w:t xml:space="preserve">Limited new information is provided on Lyons’ strategy.</w:t>
      </w:r>
    </w:p>
    <w:bookmarkEnd w:id="21"/>
    <w:bookmarkStart w:id="22" w:name="bear-case"/>
    <w:p>
      <w:pPr>
        <w:pStyle w:val="Heading3"/>
      </w:pPr>
      <w:r>
        <w:t xml:space="preserve">Bear case</w:t>
      </w:r>
    </w:p>
    <w:p>
      <w:pPr>
        <w:pStyle w:val="Compact"/>
        <w:numPr>
          <w:ilvl w:val="0"/>
          <w:numId w:val="1011"/>
        </w:numPr>
      </w:pPr>
      <w:r>
        <w:t xml:space="preserve">NII is flat or lower because of deposit repricing.</w:t>
      </w:r>
    </w:p>
    <w:p>
      <w:pPr>
        <w:pStyle w:val="Compact"/>
        <w:numPr>
          <w:ilvl w:val="0"/>
          <w:numId w:val="1011"/>
        </w:numPr>
      </w:pPr>
      <w:r>
        <w:t xml:space="preserve">Loan growth disappoints, particularly in commercial lending.</w:t>
      </w:r>
    </w:p>
    <w:p>
      <w:pPr>
        <w:pStyle w:val="Compact"/>
        <w:numPr>
          <w:ilvl w:val="0"/>
          <w:numId w:val="1011"/>
        </w:numPr>
      </w:pPr>
      <w:r>
        <w:t xml:space="preserve">Investment banking revenue falls more than anticipated.</w:t>
      </w:r>
    </w:p>
    <w:p>
      <w:pPr>
        <w:pStyle w:val="Compact"/>
        <w:numPr>
          <w:ilvl w:val="0"/>
          <w:numId w:val="1011"/>
        </w:numPr>
      </w:pPr>
      <w:r>
        <w:t xml:space="preserve">Expenses exceed the guided range.</w:t>
      </w:r>
    </w:p>
    <w:p>
      <w:pPr>
        <w:pStyle w:val="Compact"/>
        <w:numPr>
          <w:ilvl w:val="0"/>
          <w:numId w:val="1011"/>
        </w:numPr>
      </w:pPr>
      <w:r>
        <w:t xml:space="preserve">Charge-offs move into the mid-60s or higher, with reserve building.</w:t>
      </w:r>
    </w:p>
    <w:p>
      <w:pPr>
        <w:pStyle w:val="Compact"/>
        <w:numPr>
          <w:ilvl w:val="0"/>
          <w:numId w:val="1011"/>
        </w:numPr>
      </w:pPr>
      <w:r>
        <w:t xml:space="preserve">Revenue, loan-growth or ROTCE guidance is reduced.</w:t>
      </w:r>
    </w:p>
    <w:p>
      <w:pPr>
        <w:pStyle w:val="Compact"/>
        <w:numPr>
          <w:ilvl w:val="0"/>
          <w:numId w:val="1011"/>
        </w:numPr>
      </w:pPr>
      <w:r>
        <w:t xml:space="preserve">Management creates uncertainty around strategic continuity or capital return.</w:t>
      </w:r>
    </w:p>
    <w:p>
      <w:r>
        <w:pict>
          <v:rect style="width:0;height:1.5pt" o:hralign="center" o:hrstd="t" o:hr="t"/>
        </w:pict>
      </w:r>
    </w:p>
    <w:bookmarkEnd w:id="22"/>
    <w:bookmarkEnd w:id="23"/>
    <w:bookmarkStart w:id="24" w:name="bottom-line"/>
    <w:p>
      <w:pPr>
        <w:pStyle w:val="Heading2"/>
      </w:pPr>
      <w:r>
        <w:t xml:space="preserve">Bottom line</w:t>
      </w:r>
    </w:p>
    <w:p>
      <w:pPr>
        <w:pStyle w:val="FirstParagraph"/>
      </w:pPr>
      <w:r>
        <w:t xml:space="preserve">The headline consensus—</w:t>
      </w:r>
      <w:r>
        <w:rPr>
          <w:b/>
          <w:bCs/>
        </w:rPr>
        <w:t xml:space="preserve">$1.08 EPS and $5.24 billion of revenue</w:t>
      </w:r>
      <w:r>
        <w:t xml:space="preserve">—sets a relatively modest bar. The more consequential test is whether Truist can show that its improving profitability is</w:t>
      </w:r>
      <w:r>
        <w:t xml:space="preserve"> </w:t>
      </w:r>
      <w:r>
        <w:rPr>
          <w:b/>
          <w:bCs/>
        </w:rPr>
        <w:t xml:space="preserve">organic and durable</w:t>
      </w:r>
      <w:r>
        <w:t xml:space="preserve">.</w:t>
      </w:r>
    </w:p>
    <w:p>
      <w:pPr>
        <w:pStyle w:val="BodyText"/>
      </w:pPr>
      <w:r>
        <w:t xml:space="preserve">A high-quality report would combine:</w:t>
      </w:r>
    </w:p>
    <w:p>
      <w:pPr>
        <w:pStyle w:val="Compact"/>
        <w:numPr>
          <w:ilvl w:val="0"/>
          <w:numId w:val="1012"/>
        </w:numPr>
      </w:pPr>
      <w:r>
        <w:t xml:space="preserve">Stable or improving margin despite deposit competition</w:t>
      </w:r>
    </w:p>
    <w:p>
      <w:pPr>
        <w:pStyle w:val="Compact"/>
        <w:numPr>
          <w:ilvl w:val="0"/>
          <w:numId w:val="1012"/>
        </w:numPr>
      </w:pPr>
      <w:r>
        <w:t xml:space="preserve">Continued relationship-driven loan growth</w:t>
      </w:r>
    </w:p>
    <w:p>
      <w:pPr>
        <w:pStyle w:val="Compact"/>
        <w:numPr>
          <w:ilvl w:val="0"/>
          <w:numId w:val="1012"/>
        </w:numPr>
      </w:pPr>
      <w:r>
        <w:t xml:space="preserve">Resilient fee income</w:t>
      </w:r>
    </w:p>
    <w:p>
      <w:pPr>
        <w:pStyle w:val="Compact"/>
        <w:numPr>
          <w:ilvl w:val="0"/>
          <w:numId w:val="1012"/>
        </w:numPr>
      </w:pPr>
      <w:r>
        <w:t xml:space="preserve">Expenses within guidance</w:t>
      </w:r>
    </w:p>
    <w:p>
      <w:pPr>
        <w:pStyle w:val="Compact"/>
        <w:numPr>
          <w:ilvl w:val="0"/>
          <w:numId w:val="1012"/>
        </w:numPr>
      </w:pPr>
      <w:r>
        <w:t xml:space="preserve">Credit moving toward the 55-basis-point full-year target</w:t>
      </w:r>
    </w:p>
    <w:p>
      <w:pPr>
        <w:pStyle w:val="Compact"/>
        <w:numPr>
          <w:ilvl w:val="0"/>
          <w:numId w:val="1012"/>
        </w:numPr>
      </w:pPr>
      <w:r>
        <w:t xml:space="preserve">Continued aggressive—but capital-disciplined—buybacks</w:t>
      </w:r>
    </w:p>
    <w:p>
      <w:pPr>
        <w:pStyle w:val="Compact"/>
        <w:numPr>
          <w:ilvl w:val="0"/>
          <w:numId w:val="1012"/>
        </w:numPr>
      </w:pPr>
      <w:r>
        <w:t xml:space="preserve">Clear continuity through the CEO transition</w:t>
      </w:r>
    </w:p>
    <w:p>
      <w:pPr>
        <w:pStyle w:val="FirstParagraph"/>
      </w:pPr>
      <w:r>
        <w:t xml:space="preserve">Given the stock’s post-announcement rally, an in-line result with unchanged guidance may produce only a muted reaction. Sustained upside likely requires either a fee/NII beat, better credit, or increased confidence that Truist can reach its 14%–15% near-term ROTCE targets without depending primarily on buybacks and tax benefits.</w:t>
      </w:r>
    </w:p>
    <w:p>
      <w:pPr>
        <w:pStyle w:val="BodyText"/>
      </w:pPr>
      <w:r>
        <w:rPr>
          <w:i/>
          <w:iCs/>
        </w:rPr>
        <w:t xml:space="preserve">Research basis: Truist’s Q1 2026 earnings release, earnings-call transcript and Form 10-Q; June 15 CEO-transition filing; July 16 market data and consensus estimates; and Q2 peer-bank results available through July 16, 2026.</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2026-07-17T00:03:48Z</dcterms:created>
  <dcterms:modified xsi:type="dcterms:W3CDTF">2026-07-17T00:03:48Z</dcterms:modified>
</cp:coreProperties>
</file>

<file path=docProps/custom.xml><?xml version="1.0" encoding="utf-8"?>
<Properties xmlns="http://schemas.openxmlformats.org/officeDocument/2006/custom-properties" xmlns:vt="http://schemas.openxmlformats.org/officeDocument/2006/docPropsVTypes"/>
</file>