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tfc-earnings-predictions--2026-07-17"/>
    <w:p>
      <w:pPr>
        <w:pStyle w:val="Heading1"/>
      </w:pPr>
      <w:r>
        <w:t xml:space="preserve">TFC Earnings Predictions — 2026-07-17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TFC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~$1.10 vs. cons $1.08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TFC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~$5.26B vs. cons $5.24B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TFC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Taxable-equivalent net interest income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~$3.71B vs. cons $3.69B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TFC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net interest income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~2.5% vs. cons 2.5%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TFC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revenue growth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~4.0% vs. cons 4.1%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TFC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net charge-off ratio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~55 bps vs. cons 57 bps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TFC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common-stock repurchases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~$5.0B vs. cons $5.0B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TFC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+0.6%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TFC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-0.4% (FADE)</w:t>
            </w:r>
          </w:p>
        </w:tc>
        <w:tc>
          <w:tcPr/>
          <w:p>
            <w:pPr>
              <w:pStyle w:val="Compact"/>
            </w:pPr>
            <w:r>
              <w:t xml:space="preserve">A modest EPS beat of ~$1.10 versus</w:t>
            </w:r>
            <w:r>
              <w:t xml:space="preserve"> </w:t>
            </w:r>
            <m:oMath>
              <m:r>
                <m:t>1.08</m:t>
              </m:r>
              <m:r>
                <m:t>i</m:t>
              </m:r>
              <m:r>
                <m:t>s</m:t>
              </m:r>
              <m:r>
                <m:t>l</m:t>
              </m:r>
              <m:r>
                <m:t>i</m:t>
              </m:r>
              <m:r>
                <m:t>k</m:t>
              </m:r>
              <m:r>
                <m:t>e</m:t>
              </m:r>
              <m:r>
                <m:t>l</m:t>
              </m:r>
              <m:r>
                <m:t>y</m:t>
              </m:r>
              <m:r>
                <m:t>s</m:t>
              </m:r>
              <m:r>
                <m:t>u</m:t>
              </m:r>
              <m:r>
                <m:t>p</m:t>
              </m:r>
              <m:r>
                <m:t>p</m:t>
              </m:r>
              <m:r>
                <m:t>o</m:t>
              </m:r>
              <m:r>
                <m:t>r</m:t>
              </m:r>
              <m:r>
                <m:t>t</m:t>
              </m:r>
              <m:r>
                <m:t>e</m:t>
              </m:r>
              <m:r>
                <m:t>d</m:t>
              </m:r>
              <m:r>
                <m:t>p</m:t>
              </m:r>
              <m:r>
                <m:t>a</m:t>
              </m:r>
              <m:r>
                <m:t>r</m:t>
              </m:r>
              <m:r>
                <m:t>t</m:t>
              </m:r>
              <m:r>
                <m:t>l</m:t>
              </m:r>
              <m:r>
                <m:t>y</m:t>
              </m:r>
              <m:r>
                <m:t>b</m:t>
              </m:r>
              <m:r>
                <m:t>y</m:t>
              </m:r>
              <m:r>
                <m:t>b</m:t>
              </m:r>
              <m:r>
                <m:t>u</m:t>
              </m:r>
              <m:r>
                <m:t>y</m:t>
              </m:r>
              <m:r>
                <m:t>b</m:t>
              </m:r>
              <m:r>
                <m:t>a</m:t>
              </m:r>
              <m:r>
                <m:t>c</m:t>
              </m:r>
              <m:r>
                <m:t>k</m:t>
              </m:r>
              <m:r>
                <m:t>s</m:t>
              </m:r>
              <m:r>
                <m:t>a</m:t>
              </m:r>
              <m:r>
                <m:t>n</m:t>
              </m:r>
              <m:r>
                <m:t>d</m:t>
              </m:r>
              <m:r>
                <m:t>t</m:t>
              </m:r>
              <m:r>
                <m:t>h</m:t>
              </m:r>
              <m:r>
                <m:t>e</m:t>
              </m:r>
              <m:r>
                <m:t>f</m:t>
              </m:r>
              <m:r>
                <m:t>a</m:t>
              </m:r>
              <m:r>
                <m:t>v</m:t>
              </m:r>
              <m:r>
                <m:t>o</m:t>
              </m:r>
              <m:r>
                <m:t>r</m:t>
              </m:r>
              <m:r>
                <m:t>a</m:t>
              </m:r>
              <m:r>
                <m:t>b</m:t>
              </m:r>
              <m:r>
                <m:t>l</m:t>
              </m:r>
              <m:r>
                <m:t>e</m:t>
              </m:r>
              <m:r>
                <m:t>t</m:t>
              </m:r>
              <m:r>
                <m:t>a</m:t>
              </m:r>
              <m:r>
                <m:t>x</m:t>
              </m:r>
              <m:r>
                <m:t>r</m:t>
              </m:r>
              <m:r>
                <m:t>a</m:t>
              </m:r>
              <m:r>
                <m:t>t</m:t>
              </m:r>
              <m:r>
                <m:t>e</m:t>
              </m:r>
              <m:r>
                <m:rPr>
                  <m:sty m:val="p"/>
                </m:rPr>
                <m:t>,</m:t>
              </m:r>
              <m:r>
                <m:t>w</m:t>
              </m:r>
              <m:r>
                <m:t>h</m:t>
              </m:r>
              <m:r>
                <m:t>i</m:t>
              </m:r>
              <m:r>
                <m:t>l</m:t>
              </m:r>
              <m:r>
                <m:t>e</m:t>
              </m:r>
              <m:r>
                <m:t>r</m:t>
              </m:r>
              <m:r>
                <m:t>e</m:t>
              </m:r>
              <m:r>
                <m:t>v</m:t>
              </m:r>
              <m:r>
                <m:t>e</m:t>
              </m:r>
              <m:r>
                <m:t>n</m:t>
              </m:r>
              <m:r>
                <m:t>u</m:t>
              </m:r>
              <m:r>
                <m:t>e</m:t>
              </m:r>
              <m:r>
                <m:t>o</m:t>
              </m:r>
              <m:r>
                <m:t>f</m:t>
              </m:r>
              <m:r>
                <m:t> </m:t>
              </m:r>
            </m:oMath>
            <w:r>
              <w:t xml:space="preserve">5.26B versus</w:t>
            </w:r>
            <w:r>
              <w:t xml:space="preserve"> </w:t>
            </w:r>
            <m:oMath>
              <m:r>
                <m:t>5.24</m:t>
              </m:r>
              <m:r>
                <m:t>B</m:t>
              </m:r>
              <m:r>
                <m:t>a</m:t>
              </m:r>
              <m:r>
                <m:t>n</m:t>
              </m:r>
              <m:r>
                <m:t>d</m:t>
              </m:r>
              <m:r>
                <m:t>N</m:t>
              </m:r>
              <m:r>
                <m:t>I</m:t>
              </m:r>
              <m:r>
                <m:t>I</m:t>
              </m:r>
              <m:r>
                <m:t>o</m:t>
              </m:r>
              <m:r>
                <m:t>f</m:t>
              </m:r>
              <m:r>
                <m:t> </m:t>
              </m:r>
            </m:oMath>
            <w:r>
              <w:t xml:space="preserve">3.71B versus $3.69B leave FY2026 revenue guidance near ~4.0% versus ~4.1% consensus. That small out-period revenue shortfall should limit estimate upgrades and fade an initial positive reaction.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2026-07-17T00:02:33Z</dcterms:created>
  <dcterms:modified xsi:type="dcterms:W3CDTF">2026-07-17T00:02:33Z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