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abfcf862abfdc5c886c34099dfca9c22093fa8d"/>
    <w:p>
      <w:pPr>
        <w:pStyle w:val="Heading1"/>
      </w:pPr>
      <w:r>
        <w:t xml:space="preserve">Truist Financial (NYSE: TFC) — 2Q26 Earnings Preview</w:t>
      </w:r>
    </w:p>
    <w:p>
      <w:pPr>
        <w:pStyle w:val="FirstParagraph"/>
      </w:pPr>
      <w:r>
        <w:rPr>
          <w:b/>
          <w:bCs/>
        </w:rPr>
        <w:t xml:space="preserve">Report date:</w:t>
      </w:r>
      <w:r>
        <w:t xml:space="preserve"> </w:t>
      </w:r>
      <w:r>
        <w:t xml:space="preserve">Friday, July 17, 2026</w:t>
      </w:r>
      <w:r>
        <w:br/>
      </w:r>
      <w:r>
        <w:rPr>
          <w:b/>
          <w:bCs/>
        </w:rPr>
        <w:t xml:space="preserve">Event:</w:t>
      </w:r>
      <w:r>
        <w:t xml:space="preserve"> </w:t>
      </w:r>
      <w:r>
        <w:t xml:space="preserve">2026Q2 Earnings Call</w:t>
      </w:r>
      <w:r>
        <w:br/>
      </w:r>
      <w:r>
        <w:rPr>
          <w:b/>
          <w:bCs/>
        </w:rPr>
        <w:t xml:space="preserve">Street expectations:</w:t>
      </w:r>
      <w:r>
        <w:t xml:space="preserve"> </w:t>
      </w:r>
      <m:oMath>
        <m:r>
          <m:t>1.08</m:t>
        </m:r>
        <m:r>
          <m:t>E</m:t>
        </m:r>
        <m:r>
          <m:t>P</m:t>
        </m:r>
        <m:r>
          <m:t>S</m:t>
        </m:r>
        <m:r>
          <m:rPr>
            <m:sty m:val="p"/>
          </m:rPr>
          <m:t>*</m:t>
        </m:r>
        <m:r>
          <m:rPr>
            <m:sty m:val="p"/>
          </m:rPr>
          <m:t>*</m:t>
        </m:r>
        <m:r>
          <m:t>o</m:t>
        </m:r>
        <m:r>
          <m:t>n</m:t>
        </m:r>
        <m:r>
          <m:rPr>
            <m:sty m:val="p"/>
          </m:rPr>
          <m:t>*</m:t>
        </m:r>
        <m:r>
          <m:rPr>
            <m:sty m:val="p"/>
          </m:rPr>
          <m:t>*</m:t>
        </m:r>
      </m:oMath>
      <w:r>
        <w:rPr>
          <w:b/>
          <w:bCs/>
        </w:rPr>
        <w:t xml:space="preserve">5.24 billion of revenue</w:t>
      </w:r>
    </w:p>
    <w:bookmarkStart w:id="9" w:name="X9a58558197a2012f9f2a5959e2d2e27f9fee649"/>
    <w:p>
      <w:pPr>
        <w:pStyle w:val="Heading2"/>
      </w:pPr>
      <w:r>
        <w:t xml:space="preserve">Investment view: the quarter is more about validation than a headline beat</w:t>
      </w:r>
    </w:p>
    <w:p>
      <w:pPr>
        <w:pStyle w:val="FirstParagraph"/>
      </w:pPr>
      <w:r>
        <w:t xml:space="preserve">Truist enters 2Q26 with a reasonably constructive setup: management’s April outlook pointed to broadly stable revenue, modest sequential NII growth, resilient credit, and another large share-repurchase quarter. The stock closed at</w:t>
      </w:r>
      <w:r>
        <w:t xml:space="preserve"> </w:t>
      </w:r>
      <w:r>
        <w:rPr>
          <w:b/>
          <w:bCs/>
        </w:rPr>
        <w:t xml:space="preserve">$53.27 on July 16</w:t>
      </w:r>
      <w:r>
        <w:t xml:space="preserve">, up roughly</w:t>
      </w:r>
      <w:r>
        <w:t xml:space="preserve"> </w:t>
      </w:r>
      <w:r>
        <w:rPr>
          <w:b/>
          <w:bCs/>
        </w:rPr>
        <w:t xml:space="preserve">10% since the June 15 leadership-transition announcement</w:t>
      </w:r>
      <w:r>
        <w:t xml:space="preserve">, so expectations have risen ahead of the release.</w:t>
      </w:r>
    </w:p>
    <w:p>
      <w:pPr>
        <w:pStyle w:val="BodyText"/>
      </w:pPr>
      <w:r>
        <w:t xml:space="preserve">The central question is whether Truist can demonstrate that its improving return profile is</w:t>
      </w:r>
      <w:r>
        <w:t xml:space="preserve"> </w:t>
      </w:r>
      <w:r>
        <w:rPr>
          <w:b/>
          <w:bCs/>
        </w:rPr>
        <w:t xml:space="preserve">durable without relying on a friendlier rate path</w:t>
      </w:r>
      <w:r>
        <w:t xml:space="preserve">. In 1Q, management lowered its 2026 NII-growth outlook because it no longer expected Fed rate cuts, but offset that pressure with better fee-income expectations, a lower tax rate, and a higher buyback target. A solid 2Q should therefore show progress in deposit gathering, commercial loan growth, fee momentum, and expense control—not merely EPS support from taxes and repurchases.</w:t>
      </w:r>
    </w:p>
    <w:bookmarkEnd w:id="9"/>
    <w:bookmarkStart w:id="10" w:name="what-management-guided-to-for-2q26"/>
    <w:p>
      <w:pPr>
        <w:pStyle w:val="Heading2"/>
      </w:pPr>
      <w:r>
        <w:t xml:space="preserve">What management guided to for 2Q26</w:t>
      </w:r>
    </w:p>
    <w:p>
      <w:pPr>
        <w:pStyle w:val="FirstParagraph"/>
      </w:pPr>
      <w:r>
        <w:t xml:space="preserve">At its 1Q26 call, Truist guided to the following sequential trends: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management outlook</w:t>
            </w:r>
          </w:p>
        </w:tc>
        <w:tc>
          <w:tcPr/>
          <w:p>
            <w:pPr>
              <w:pStyle w:val="Compact"/>
            </w:pPr>
            <w:r>
              <w:t xml:space="preserve">Investor read-through</w:t>
            </w:r>
          </w:p>
        </w:tc>
      </w:tr>
      <w:tr>
        <w:tc>
          <w:tcPr/>
          <w:p>
            <w:pPr>
              <w:pStyle w:val="Compact"/>
            </w:pPr>
            <w:r>
              <w:t xml:space="preserve">Revenue</w:t>
            </w:r>
          </w:p>
        </w:tc>
        <w:tc>
          <w:tcPr/>
          <w:p>
            <w:pPr>
              <w:pStyle w:val="Compact"/>
              <w:jc w:val="right"/>
            </w:pPr>
            <w:r>
              <w:t xml:space="preserve">Roughly stable vs. 1Q</w:t>
            </w:r>
          </w:p>
        </w:tc>
        <w:tc>
          <w:tcPr/>
          <w:p>
            <w:pPr>
              <w:pStyle w:val="Compact"/>
            </w:pPr>
            <w:r>
              <w:t xml:space="preserve">Implies about</w:t>
            </w:r>
            <w:r>
              <w:t xml:space="preserve"> </w:t>
            </w:r>
            <w:r>
              <w:rPr>
                <w:b/>
                <w:bCs/>
              </w:rPr>
              <w:t xml:space="preserve">$5.2B</w:t>
            </w:r>
          </w:p>
        </w:tc>
      </w:tr>
      <w:tr>
        <w:tc>
          <w:tcPr/>
          <w:p>
            <w:pPr>
              <w:pStyle w:val="Compact"/>
            </w:pPr>
            <w:r>
              <w:t xml:space="preserve">Net interest income</w:t>
            </w:r>
          </w:p>
        </w:tc>
        <w:tc>
          <w:tcPr/>
          <w:p>
            <w:pPr>
              <w:pStyle w:val="Compact"/>
              <w:jc w:val="right"/>
            </w:pPr>
            <w:r>
              <w:rPr>
                <w:b/>
                <w:bCs/>
              </w:rPr>
              <w:t xml:space="preserve">Up ~1% QoQ</w:t>
            </w:r>
          </w:p>
        </w:tc>
        <w:tc>
          <w:tcPr/>
          <w:p>
            <w:pPr>
              <w:pStyle w:val="Compact"/>
            </w:pPr>
            <w:r>
              <w:t xml:space="preserve">Extra calendar day and higher client deposits should more than offset funding pressure</w:t>
            </w:r>
          </w:p>
        </w:tc>
      </w:tr>
      <w:tr>
        <w:tc>
          <w:tcPr/>
          <w:p>
            <w:pPr>
              <w:pStyle w:val="Compact"/>
            </w:pPr>
            <w:r>
              <w:t xml:space="preserve">Noninterest income</w:t>
            </w:r>
          </w:p>
        </w:tc>
        <w:tc>
          <w:tcPr/>
          <w:p>
            <w:pPr>
              <w:pStyle w:val="Compact"/>
              <w:jc w:val="right"/>
            </w:pPr>
            <w:r>
              <w:rPr>
                <w:b/>
                <w:bCs/>
              </w:rPr>
              <w:t xml:space="preserve">Down ~1% QoQ</w:t>
            </w:r>
          </w:p>
        </w:tc>
        <w:tc>
          <w:tcPr/>
          <w:p>
            <w:pPr>
              <w:pStyle w:val="Compact"/>
            </w:pPr>
            <w:r>
              <w:t xml:space="preserve">Lower investment-banking and trading revenue, partly offset by card/treasury fees and other income</w:t>
            </w:r>
          </w:p>
        </w:tc>
      </w:tr>
      <w:tr>
        <w:tc>
          <w:tcPr/>
          <w:p>
            <w:pPr>
              <w:pStyle w:val="Compact"/>
            </w:pPr>
            <w:r>
              <w:t xml:space="preserve">Noninterest expense</w:t>
            </w:r>
          </w:p>
        </w:tc>
        <w:tc>
          <w:tcPr/>
          <w:p>
            <w:pPr>
              <w:pStyle w:val="Compact"/>
              <w:jc w:val="right"/>
            </w:pPr>
            <w:r>
              <w:rPr>
                <w:b/>
                <w:bCs/>
              </w:rPr>
              <w:t xml:space="preserve">Up 3%–4% QoQ</w:t>
            </w:r>
          </w:p>
        </w:tc>
        <w:tc>
          <w:tcPr/>
          <w:p>
            <w:pPr>
              <w:pStyle w:val="Compact"/>
            </w:pPr>
            <w:r>
              <w:t xml:space="preserve">Implies approximately</w:t>
            </w:r>
            <w:r>
              <w:t xml:space="preserve"> </w:t>
            </w:r>
            <m:oMath>
              <m:r>
                <m:t>3.07</m:t>
              </m:r>
              <m:r>
                <m:t>B</m:t>
              </m:r>
              <m:r>
                <m:rPr>
                  <m:sty m:val="p"/>
                </m:rPr>
                <m:t>–</m:t>
              </m:r>
            </m:oMath>
            <w:r>
              <w:rPr>
                <w:b/>
                <w:bCs/>
              </w:rPr>
              <w:t xml:space="preserve">3.10B</w:t>
            </w:r>
            <w:r>
              <w:t xml:space="preserve">, driven principally by personnel expense</w:t>
            </w:r>
          </w:p>
        </w:tc>
      </w:tr>
      <w:tr>
        <w:tc>
          <w:tcPr/>
          <w:p>
            <w:pPr>
              <w:pStyle w:val="Compact"/>
            </w:pPr>
            <w:r>
              <w:t xml:space="preserve">Share repurchases</w:t>
            </w:r>
          </w:p>
        </w:tc>
        <w:tc>
          <w:tcPr/>
          <w:p>
            <w:pPr>
              <w:pStyle w:val="Compact"/>
              <w:jc w:val="right"/>
            </w:pPr>
            <w:r>
              <w:rPr>
                <w:b/>
                <w:bCs/>
              </w:rPr>
              <w:t xml:space="preserve">~$1.2B</w:t>
            </w:r>
          </w:p>
        </w:tc>
        <w:tc>
          <w:tcPr/>
          <w:p>
            <w:pPr>
              <w:pStyle w:val="Compact"/>
            </w:pPr>
            <w:r>
              <w:t xml:space="preserve">Critical support for per-share earnings and the capital-return case</w:t>
            </w:r>
          </w:p>
        </w:tc>
      </w:tr>
      <w:tr>
        <w:tc>
          <w:tcPr/>
          <w:p>
            <w:pPr>
              <w:pStyle w:val="Compact"/>
            </w:pPr>
            <w:r>
              <w:t xml:space="preserve">2026 NCO ratio</w:t>
            </w:r>
          </w:p>
        </w:tc>
        <w:tc>
          <w:tcPr/>
          <w:p>
            <w:pPr>
              <w:pStyle w:val="Compact"/>
              <w:jc w:val="right"/>
            </w:pPr>
            <w:r>
              <w:rPr>
                <w:b/>
                <w:bCs/>
              </w:rPr>
              <w:t xml:space="preserve">~55 bps</w:t>
            </w:r>
          </w:p>
        </w:tc>
        <w:tc>
          <w:tcPr/>
          <w:p>
            <w:pPr>
              <w:pStyle w:val="Compact"/>
            </w:pPr>
            <w:r>
              <w:t xml:space="preserve">A modest improvement from 1Q’s 61 bps is embedded in the full-year framework</w:t>
            </w:r>
          </w:p>
        </w:tc>
      </w:tr>
    </w:tbl>
    <w:p>
      <w:pPr>
        <w:pStyle w:val="BodyText"/>
      </w:pPr>
      <w:r>
        <w:t xml:space="preserve">The revenue guide is broadly consistent with the current</w:t>
      </w:r>
      <w:r>
        <w:t xml:space="preserve"> </w:t>
      </w:r>
      <w:r>
        <w:rPr>
          <w:b/>
          <w:bCs/>
        </w:rPr>
        <w:t xml:space="preserve">$5.24B</w:t>
      </w:r>
      <w:r>
        <w:t xml:space="preserve"> </w:t>
      </w:r>
      <w:r>
        <w:t xml:space="preserve">consensus. The EPS comparison may be tighter: 1Q EPS was $1.09, but management explicitly forecasted higher seasonal personnel expense and lower capital-markets revenue in 2Q.</w:t>
      </w:r>
    </w:p>
    <w:bookmarkEnd w:id="10"/>
    <w:bookmarkStart w:id="16" w:name="the-five-issues-that-matter-most"/>
    <w:p>
      <w:pPr>
        <w:pStyle w:val="Heading2"/>
      </w:pPr>
      <w:r>
        <w:t xml:space="preserve">The five issues that matter most</w:t>
      </w:r>
    </w:p>
    <w:bookmarkStart w:id="11" w:name="Xc2c8ecabba5db1829156e2887270f8fe9dab6de"/>
    <w:p>
      <w:pPr>
        <w:pStyle w:val="Heading3"/>
      </w:pPr>
      <w:r>
        <w:t xml:space="preserve">1. NII and deposit costs: the key operating test</w:t>
      </w:r>
    </w:p>
    <w:p>
      <w:pPr>
        <w:pStyle w:val="FirstParagraph"/>
      </w:pPr>
      <w:r>
        <w:t xml:space="preserve">Truist’s 1Q taxable-equivalent NII fell 2.8% sequentially and NIM declined 5 bps to</w:t>
      </w:r>
      <w:r>
        <w:t xml:space="preserve"> </w:t>
      </w:r>
      <w:r>
        <w:rPr>
          <w:b/>
          <w:bCs/>
        </w:rPr>
        <w:t xml:space="preserve">3.02%</w:t>
      </w:r>
      <w:r>
        <w:t xml:space="preserve">, largely reflecting two fewer days and deposit-mix pressure. Management expects NII to rebound about 1% in 2Q, but the underlying issue is competition for deposits in Truist’s attractive, fast-growing Southeastern markets.</w:t>
      </w:r>
    </w:p>
    <w:p>
      <w:pPr>
        <w:pStyle w:val="BodyText"/>
      </w:pPr>
      <w:r>
        <w:t xml:space="preserve">Investors should focus on:</w:t>
      </w:r>
    </w:p>
    <w:p>
      <w:pPr>
        <w:pStyle w:val="Compact"/>
        <w:numPr>
          <w:ilvl w:val="0"/>
          <w:numId w:val="1001"/>
        </w:numPr>
      </w:pPr>
      <w:r>
        <w:rPr>
          <w:b/>
          <w:bCs/>
        </w:rPr>
        <w:t xml:space="preserve">NIM:</w:t>
      </w:r>
      <w:r>
        <w:t xml:space="preserve"> </w:t>
      </w:r>
      <w:r>
        <w:t xml:space="preserve">Management guided to a relatively stable 2Q margin. A result near 3.02%, with credible second-half expansion, would support the longer-term earnings narrative.</w:t>
      </w:r>
    </w:p>
    <w:p>
      <w:pPr>
        <w:pStyle w:val="Compact"/>
        <w:numPr>
          <w:ilvl w:val="0"/>
          <w:numId w:val="1001"/>
        </w:numPr>
      </w:pPr>
      <w:r>
        <w:rPr>
          <w:b/>
          <w:bCs/>
        </w:rPr>
        <w:t xml:space="preserve">Deposit cost and mix:</w:t>
      </w:r>
      <w:r>
        <w:t xml:space="preserve"> </w:t>
      </w:r>
      <w:r>
        <w:t xml:space="preserve">In 1Q, total deposit cost declined 9 bps to 1.55%, although noninterest-bearing deposits fell to 25.9% of deposits from 26.7% in 4Q25. Further migration away from DDA would be a concern even if total deposits grow.</w:t>
      </w:r>
    </w:p>
    <w:p>
      <w:pPr>
        <w:pStyle w:val="Compact"/>
        <w:numPr>
          <w:ilvl w:val="0"/>
          <w:numId w:val="1001"/>
        </w:numPr>
      </w:pPr>
      <w:r>
        <w:rPr>
          <w:b/>
          <w:bCs/>
        </w:rPr>
        <w:t xml:space="preserve">Deposit volumes:</w:t>
      </w:r>
      <w:r>
        <w:t xml:space="preserve"> </w:t>
      </w:r>
      <w:r>
        <w:t xml:space="preserve">Management’s full-year outlook is for low-single-digit average deposit growth. Strong client deposit growth would reinforce the claim that Truist is winning relationships rather than simply defending balances with price.</w:t>
      </w:r>
    </w:p>
    <w:p>
      <w:pPr>
        <w:pStyle w:val="FirstParagraph"/>
      </w:pPr>
      <w:r>
        <w:t xml:space="preserve">A beat in NII or an improved full-year NII outlook would be the cleanest positive surprise. Conversely, another guide-down tied to deposit competition would likely overshadow otherwise adequate results.</w:t>
      </w:r>
    </w:p>
    <w:bookmarkEnd w:id="11"/>
    <w:bookmarkStart w:id="12" w:name="X6128390831a947518bfb49de9129091b141b0a0"/>
    <w:p>
      <w:pPr>
        <w:pStyle w:val="Heading3"/>
      </w:pPr>
      <w:r>
        <w:t xml:space="preserve">2. Loan growth: quality and mix should matter more than the headline</w:t>
      </w:r>
    </w:p>
    <w:p>
      <w:pPr>
        <w:pStyle w:val="FirstParagraph"/>
      </w:pPr>
      <w:r>
        <w:t xml:space="preserve">Management still expects</w:t>
      </w:r>
      <w:r>
        <w:t xml:space="preserve"> </w:t>
      </w:r>
      <w:r>
        <w:rPr>
          <w:b/>
          <w:bCs/>
        </w:rPr>
        <w:t xml:space="preserve">3%–4% average loan growth in 2026</w:t>
      </w:r>
      <w:r>
        <w:t xml:space="preserve">, concentrated in commercial lending and higher-return consumer specialty businesses rather than lower-return categories such as indirect auto.</w:t>
      </w:r>
    </w:p>
    <w:p>
      <w:pPr>
        <w:pStyle w:val="BodyText"/>
      </w:pPr>
      <w:r>
        <w:t xml:space="preserve">In 1Q, average loans rose 0.7% sequentially, driven by 1.8% commercial growth, while consumer balances declined 0.9%. Commercial and industrial loans, CRE, and expansion-market activity were areas of strength. For 2Q, investors should look for:</w:t>
      </w:r>
    </w:p>
    <w:p>
      <w:pPr>
        <w:pStyle w:val="Compact"/>
        <w:numPr>
          <w:ilvl w:val="0"/>
          <w:numId w:val="1002"/>
        </w:numPr>
      </w:pPr>
      <w:r>
        <w:t xml:space="preserve">Continued</w:t>
      </w:r>
      <w:r>
        <w:t xml:space="preserve"> </w:t>
      </w:r>
      <w:r>
        <w:rPr>
          <w:b/>
          <w:bCs/>
        </w:rPr>
        <w:t xml:space="preserve">C&amp;I and middle-market growth</w:t>
      </w:r>
      <w:r>
        <w:t xml:space="preserve">;</w:t>
      </w:r>
    </w:p>
    <w:p>
      <w:pPr>
        <w:pStyle w:val="Compact"/>
        <w:numPr>
          <w:ilvl w:val="0"/>
          <w:numId w:val="1002"/>
        </w:numPr>
      </w:pPr>
      <w:r>
        <w:t xml:space="preserve">Evidence that deposit-linked lending is improving relationship profitability;</w:t>
      </w:r>
    </w:p>
    <w:p>
      <w:pPr>
        <w:pStyle w:val="Compact"/>
        <w:numPr>
          <w:ilvl w:val="0"/>
          <w:numId w:val="1002"/>
        </w:numPr>
      </w:pPr>
      <w:r>
        <w:t xml:space="preserve">Seasonal acceleration in specialty consumer portfolios, including Sheffield, Service Finance, and LightStream;</w:t>
      </w:r>
    </w:p>
    <w:p>
      <w:pPr>
        <w:pStyle w:val="Compact"/>
        <w:numPr>
          <w:ilvl w:val="0"/>
          <w:numId w:val="1002"/>
        </w:numPr>
      </w:pPr>
      <w:r>
        <w:t xml:space="preserve">Continued restraint in indirect auto, where management has flagged tighter spreads.</w:t>
      </w:r>
    </w:p>
    <w:p>
      <w:pPr>
        <w:pStyle w:val="FirstParagraph"/>
      </w:pPr>
      <w:r>
        <w:t xml:space="preserve">Commercial growth accompanied by deposits and fee business would be a higher-quality outcome than asset growth alone.</w:t>
      </w:r>
    </w:p>
    <w:bookmarkEnd w:id="12"/>
    <w:bookmarkStart w:id="13" w:name="X85613c6a32d5ae9b9168ef28e3db532181a97a1"/>
    <w:p>
      <w:pPr>
        <w:pStyle w:val="Heading3"/>
      </w:pPr>
      <w:r>
        <w:t xml:space="preserve">3. Fee income: can capital markets remain a genuine offset?</w:t>
      </w:r>
    </w:p>
    <w:p>
      <w:pPr>
        <w:pStyle w:val="FirstParagraph"/>
      </w:pPr>
      <w:r>
        <w:t xml:space="preserve">Fee income was a major 1Q positive. Investment banking and trading revenue increased 36% year over year to</w:t>
      </w:r>
      <w:r>
        <w:t xml:space="preserve"> </w:t>
      </w:r>
      <w:r>
        <w:rPr>
          <w:b/>
          <w:bCs/>
        </w:rPr>
        <w:t xml:space="preserve">$372M</w:t>
      </w:r>
      <w:r>
        <w:t xml:space="preserve">, while wealth-management revenue rose 8%. Management expects investment-banking and trading income to decline sequentially in 2Q, so the hurdle is not another record quarter—it is whether the franchise retains its stronger year-over-year trajectory.</w:t>
      </w:r>
    </w:p>
    <w:p>
      <w:pPr>
        <w:pStyle w:val="BodyText"/>
      </w:pPr>
      <w:r>
        <w:t xml:space="preserve">Areas to watch:</w:t>
      </w:r>
    </w:p>
    <w:p>
      <w:pPr>
        <w:pStyle w:val="Compact"/>
        <w:numPr>
          <w:ilvl w:val="0"/>
          <w:numId w:val="1003"/>
        </w:numPr>
      </w:pPr>
      <w:r>
        <w:t xml:space="preserve">Investment-banking and trading revenue relative to the 1Q peak;</w:t>
      </w:r>
    </w:p>
    <w:p>
      <w:pPr>
        <w:pStyle w:val="Compact"/>
        <w:numPr>
          <w:ilvl w:val="0"/>
          <w:numId w:val="1003"/>
        </w:numPr>
      </w:pPr>
      <w:r>
        <w:t xml:space="preserve">Commentary on M&amp;A, equity/debt underwriting, project finance, and trading activity;</w:t>
      </w:r>
    </w:p>
    <w:p>
      <w:pPr>
        <w:pStyle w:val="Compact"/>
        <w:numPr>
          <w:ilvl w:val="0"/>
          <w:numId w:val="1003"/>
        </w:numPr>
      </w:pPr>
      <w:r>
        <w:t xml:space="preserve">Wealth-management growth from higher assets under management;</w:t>
      </w:r>
    </w:p>
    <w:p>
      <w:pPr>
        <w:pStyle w:val="Compact"/>
        <w:numPr>
          <w:ilvl w:val="0"/>
          <w:numId w:val="1003"/>
        </w:numPr>
      </w:pPr>
      <w:r>
        <w:t xml:space="preserve">Treasury-management and card-fee growth, which should be less market-sensitive.</w:t>
      </w:r>
    </w:p>
    <w:p>
      <w:pPr>
        <w:pStyle w:val="FirstParagraph"/>
      </w:pPr>
      <w:r>
        <w:t xml:space="preserve">Truist has raised its full-year noninterest-income outlook to</w:t>
      </w:r>
      <w:r>
        <w:t xml:space="preserve"> </w:t>
      </w:r>
      <w:r>
        <w:rPr>
          <w:b/>
          <w:bCs/>
        </w:rPr>
        <w:t xml:space="preserve">high-single-digit growth</w:t>
      </w:r>
      <w:r>
        <w:t xml:space="preserve">, from mid- to high-single digits previously. Maintaining that outlook—or raising it—would help offset any lingering skepticism around NII.</w:t>
      </w:r>
    </w:p>
    <w:bookmarkEnd w:id="13"/>
    <w:bookmarkStart w:id="14" w:name="X313818b2865b44384c059aa288713a0060a1ec9"/>
    <w:p>
      <w:pPr>
        <w:pStyle w:val="Heading3"/>
      </w:pPr>
      <w:r>
        <w:t xml:space="preserve">4. Expenses: seasonal step-up is expected, but operating leverage must remain intact</w:t>
      </w:r>
    </w:p>
    <w:p>
      <w:pPr>
        <w:pStyle w:val="FirstParagraph"/>
      </w:pPr>
      <w:r>
        <w:t xml:space="preserve">The expected 3%–4% sequential rise in expenses should not be viewed as a surprise; 1Q expense was unusually low due to lower incentive compensation, lower professional fees, and the absence of a prior-quarter legal accrual. Still, Truist’s credibility rests on producing positive operating leverage while investing in growth, technology, risk infrastructure, and AI-enabled productivity.</w:t>
      </w:r>
    </w:p>
    <w:p>
      <w:pPr>
        <w:pStyle w:val="BodyText"/>
      </w:pPr>
      <w:r>
        <w:t xml:space="preserve">The relevant test is whether management can retain its full-year expense-growth guide of approximately</w:t>
      </w:r>
      <w:r>
        <w:t xml:space="preserve"> </w:t>
      </w:r>
      <w:r>
        <w:rPr>
          <w:b/>
          <w:bCs/>
        </w:rPr>
        <w:t xml:space="preserve">1.75%</w:t>
      </w:r>
      <w:r>
        <w:t xml:space="preserve"> </w:t>
      </w:r>
      <w:r>
        <w:t xml:space="preserve">while continuing to grow revenue. A material expense overshoot, especially without a revenue upgrade, would weaken the path to the company’s stated return goals.</w:t>
      </w:r>
    </w:p>
    <w:bookmarkEnd w:id="14"/>
    <w:bookmarkStart w:id="15" w:name="Xaecde97e7be66d075ec1531afee3e176a054e94"/>
    <w:p>
      <w:pPr>
        <w:pStyle w:val="Heading3"/>
      </w:pPr>
      <w:r>
        <w:t xml:space="preserve">5. Credit: stable is good enough, but indirect auto and commercial construction remain watch items</w:t>
      </w:r>
    </w:p>
    <w:p>
      <w:pPr>
        <w:pStyle w:val="FirstParagraph"/>
      </w:pPr>
      <w:r>
        <w:t xml:space="preserve">Asset quality remained sound in 1Q, though the NCO ratio rose to</w:t>
      </w:r>
      <w:r>
        <w:t xml:space="preserve"> </w:t>
      </w:r>
      <w:r>
        <w:rPr>
          <w:b/>
          <w:bCs/>
        </w:rPr>
        <w:t xml:space="preserve">61 bps</w:t>
      </w:r>
      <w:r>
        <w:t xml:space="preserve"> </w:t>
      </w:r>
      <w:r>
        <w:t xml:space="preserve">from 57 bps in 4Q25. Management attributed part of the increase to commercial construction. Nonperforming loans rose modestly to 0.50% of loans; the increase in indirect-auto nonaccruals was primarily due to a change in classification criteria rather than a change in lifetime loss expectations.</w:t>
      </w:r>
    </w:p>
    <w:p>
      <w:pPr>
        <w:pStyle w:val="BodyText"/>
      </w:pPr>
      <w:r>
        <w:t xml:space="preserve">Key items:</w:t>
      </w:r>
    </w:p>
    <w:p>
      <w:pPr>
        <w:pStyle w:val="Compact"/>
        <w:numPr>
          <w:ilvl w:val="0"/>
          <w:numId w:val="1004"/>
        </w:numPr>
      </w:pPr>
      <w:r>
        <w:t xml:space="preserve">NCO ratio versus the</w:t>
      </w:r>
      <w:r>
        <w:t xml:space="preserve"> </w:t>
      </w:r>
      <w:r>
        <w:rPr>
          <w:b/>
          <w:bCs/>
        </w:rPr>
        <w:t xml:space="preserve">~55 bps</w:t>
      </w:r>
      <w:r>
        <w:t xml:space="preserve"> </w:t>
      </w:r>
      <w:r>
        <w:t xml:space="preserve">full-year target;</w:t>
      </w:r>
    </w:p>
    <w:p>
      <w:pPr>
        <w:pStyle w:val="Compact"/>
        <w:numPr>
          <w:ilvl w:val="0"/>
          <w:numId w:val="1004"/>
        </w:numPr>
      </w:pPr>
      <w:r>
        <w:t xml:space="preserve">Commercial construction charge-offs and CRE trends;</w:t>
      </w:r>
    </w:p>
    <w:p>
      <w:pPr>
        <w:pStyle w:val="Compact"/>
        <w:numPr>
          <w:ilvl w:val="0"/>
          <w:numId w:val="1004"/>
        </w:numPr>
      </w:pPr>
      <w:r>
        <w:t xml:space="preserve">Indirect-auto delinquency, nonperforming-loan, and reserve commentary;</w:t>
      </w:r>
    </w:p>
    <w:p>
      <w:pPr>
        <w:pStyle w:val="Compact"/>
        <w:numPr>
          <w:ilvl w:val="0"/>
          <w:numId w:val="1004"/>
        </w:numPr>
      </w:pPr>
      <w:r>
        <w:t xml:space="preserve">Provision relative to net charge-offs and loan growth;</w:t>
      </w:r>
    </w:p>
    <w:p>
      <w:pPr>
        <w:pStyle w:val="Compact"/>
        <w:numPr>
          <w:ilvl w:val="0"/>
          <w:numId w:val="1004"/>
        </w:numPr>
      </w:pPr>
      <w:r>
        <w:t xml:space="preserve">Any evolution in the company’s nondepository-financial-institution exposure, which was 12% of loans as of March 31.</w:t>
      </w:r>
    </w:p>
    <w:p>
      <w:pPr>
        <w:pStyle w:val="FirstParagraph"/>
      </w:pPr>
      <w:r>
        <w:t xml:space="preserve">A stable reserve ratio and reaffirmed credit outlook would likely be sufficient. A meaningful provision build or deterioration outside the disclosed auto-classification change would be a negative surprise.</w:t>
      </w:r>
    </w:p>
    <w:bookmarkEnd w:id="15"/>
    <w:bookmarkEnd w:id="16"/>
    <w:bookmarkStart w:id="17" w:name="X7a17d77c48386f81332a48f3582581e42a83ae0"/>
    <w:p>
      <w:pPr>
        <w:pStyle w:val="Heading2"/>
      </w:pPr>
      <w:r>
        <w:t xml:space="preserve">Capital return and the earnings-per-share lever</w:t>
      </w:r>
    </w:p>
    <w:p>
      <w:pPr>
        <w:pStyle w:val="FirstParagraph"/>
      </w:pPr>
      <w:r>
        <w:t xml:space="preserve">Capital return remains a meaningful part of the bull case. Truist repurchased</w:t>
      </w:r>
      <w:r>
        <w:t xml:space="preserve"> </w:t>
      </w:r>
      <m:oMath>
        <m:r>
          <m:t>1.1</m:t>
        </m:r>
        <m:r>
          <m:t>B</m:t>
        </m:r>
        <m:r>
          <m:rPr>
            <m:sty m:val="p"/>
          </m:rPr>
          <m:t>*</m:t>
        </m:r>
        <m:r>
          <m:rPr>
            <m:sty m:val="p"/>
          </m:rPr>
          <m:t>*</m:t>
        </m:r>
        <m:r>
          <m:t>o</m:t>
        </m:r>
        <m:r>
          <m:t>f</m:t>
        </m:r>
        <m:r>
          <m:t>c</m:t>
        </m:r>
        <m:r>
          <m:t>o</m:t>
        </m:r>
        <m:r>
          <m:t>m</m:t>
        </m:r>
        <m:r>
          <m:t>m</m:t>
        </m:r>
        <m:r>
          <m:t>o</m:t>
        </m:r>
        <m:r>
          <m:t>n</m:t>
        </m:r>
        <m:r>
          <m:t>s</m:t>
        </m:r>
        <m:r>
          <m:t>t</m:t>
        </m:r>
        <m:r>
          <m:t>o</m:t>
        </m:r>
        <m:r>
          <m:t>c</m:t>
        </m:r>
        <m:r>
          <m:t>k</m:t>
        </m:r>
        <m:r>
          <m:t>i</m:t>
        </m:r>
        <m:r>
          <m:t>n</m:t>
        </m:r>
        <m:r>
          <m:t>1</m:t>
        </m:r>
        <m:r>
          <m:t>Q</m:t>
        </m:r>
        <m:r>
          <m:t>a</m:t>
        </m:r>
        <m:r>
          <m:t>n</m:t>
        </m:r>
        <m:r>
          <m:t>d</m:t>
        </m:r>
        <m:r>
          <m:t>i</m:t>
        </m:r>
        <m:r>
          <m:t>s</m:t>
        </m:r>
        <m:r>
          <m:t>t</m:t>
        </m:r>
        <m:r>
          <m:t>a</m:t>
        </m:r>
        <m:r>
          <m:t>r</m:t>
        </m:r>
        <m:r>
          <m:t>g</m:t>
        </m:r>
        <m:r>
          <m:t>e</m:t>
        </m:r>
        <m:r>
          <m:t>t</m:t>
        </m:r>
        <m:r>
          <m:t>i</m:t>
        </m:r>
        <m:r>
          <m:t>n</m:t>
        </m:r>
        <m:r>
          <m:t>g</m:t>
        </m:r>
        <m:r>
          <m:t>r</m:t>
        </m:r>
        <m:r>
          <m:t>o</m:t>
        </m:r>
        <m:r>
          <m:t>u</m:t>
        </m:r>
        <m:r>
          <m:t>g</m:t>
        </m:r>
        <m:r>
          <m:t>h</m:t>
        </m:r>
        <m:r>
          <m:t>l</m:t>
        </m:r>
        <m:r>
          <m:t>y</m:t>
        </m:r>
        <m:r>
          <m:rPr>
            <m:sty m:val="p"/>
          </m:rPr>
          <m:t>*</m:t>
        </m:r>
        <m:r>
          <m:rPr>
            <m:sty m:val="p"/>
          </m:rPr>
          <m:t>*</m:t>
        </m:r>
      </m:oMath>
      <w:r>
        <w:rPr>
          <w:b/>
          <w:bCs/>
        </w:rPr>
        <w:t xml:space="preserve">1.2B</w:t>
      </w:r>
      <w:r>
        <w:t xml:space="preserve"> </w:t>
      </w:r>
      <w:r>
        <w:t xml:space="preserve">in 2Q, with full-year 2026 repurchases raised to</w:t>
      </w:r>
      <w:r>
        <w:t xml:space="preserve"> </w:t>
      </w:r>
      <w:r>
        <w:rPr>
          <w:b/>
          <w:bCs/>
        </w:rPr>
        <w:t xml:space="preserve">$5B</w:t>
      </w:r>
      <w:r>
        <w:t xml:space="preserve"> </w:t>
      </w:r>
      <w:r>
        <w:t xml:space="preserve">from $4B previously. Its CET1 ratio was 10.8% at March 31.</w:t>
      </w:r>
    </w:p>
    <w:p>
      <w:pPr>
        <w:pStyle w:val="BodyText"/>
      </w:pPr>
      <w:r>
        <w:t xml:space="preserve">The release should clarify whether the company remains comfortable with that pace following 2Q balance-sheet growth and the latest regulatory-capital assumptions. Confirmation of the $5B plan, paired with a stable CET1 ratio, would reinforce management’s confidence in achieving its</w:t>
      </w:r>
      <w:r>
        <w:t xml:space="preserve"> </w:t>
      </w:r>
      <w:r>
        <w:rPr>
          <w:b/>
          <w:bCs/>
        </w:rPr>
        <w:t xml:space="preserve">14% 2026 ROTCE</w:t>
      </w:r>
      <w:r>
        <w:t xml:space="preserve"> </w:t>
      </w:r>
      <w:r>
        <w:t xml:space="preserve">target and</w:t>
      </w:r>
      <w:r>
        <w:t xml:space="preserve"> </w:t>
      </w:r>
      <w:r>
        <w:rPr>
          <w:b/>
          <w:bCs/>
        </w:rPr>
        <w:t xml:space="preserve">15% 2027 ROTCE</w:t>
      </w:r>
      <w:r>
        <w:t xml:space="preserve"> </w:t>
      </w:r>
      <w:r>
        <w:t xml:space="preserve">target.</w:t>
      </w:r>
    </w:p>
    <w:bookmarkEnd w:id="17"/>
    <w:bookmarkStart w:id="18" w:name="X5cfcc372a84abdb401f63ee4e0be19d0737361a"/>
    <w:p>
      <w:pPr>
        <w:pStyle w:val="Heading2"/>
      </w:pPr>
      <w:r>
        <w:t xml:space="preserve">Leadership transition adds an important strategic layer</w:t>
      </w:r>
    </w:p>
    <w:p>
      <w:pPr>
        <w:pStyle w:val="FirstParagraph"/>
      </w:pPr>
      <w:r>
        <w:t xml:space="preserve">This will be the final quarterly report before</w:t>
      </w:r>
      <w:r>
        <w:t xml:space="preserve"> </w:t>
      </w:r>
      <w:r>
        <w:rPr>
          <w:b/>
          <w:bCs/>
        </w:rPr>
        <w:t xml:space="preserve">Michael Lyons becomes CEO and President on September 1, 2026</w:t>
      </w:r>
      <w:r>
        <w:t xml:space="preserve">. Bill Rogers is set to transition to Executive Chair through the 2027 annual meeting. Lyons previously led Fiserv and held senior roles at PNC, including president and head of corporate and institutional banking.</w:t>
      </w:r>
    </w:p>
    <w:p>
      <w:pPr>
        <w:pStyle w:val="BodyText"/>
      </w:pPr>
      <w:r>
        <w:t xml:space="preserve">The earnings call is unlikely to introduce a wholesale change in guidance, but investors will listen for:</w:t>
      </w:r>
    </w:p>
    <w:p>
      <w:pPr>
        <w:pStyle w:val="Compact"/>
        <w:numPr>
          <w:ilvl w:val="0"/>
          <w:numId w:val="1005"/>
        </w:numPr>
      </w:pPr>
      <w:r>
        <w:t xml:space="preserve">Any indication that Lyons has influenced capital allocation or operating priorities;</w:t>
      </w:r>
    </w:p>
    <w:p>
      <w:pPr>
        <w:pStyle w:val="Compact"/>
        <w:numPr>
          <w:ilvl w:val="0"/>
          <w:numId w:val="1005"/>
        </w:numPr>
      </w:pPr>
      <w:r>
        <w:t xml:space="preserve">Confirmation that the existing return, efficiency, and buyback framework remains intact;</w:t>
      </w:r>
    </w:p>
    <w:p>
      <w:pPr>
        <w:pStyle w:val="Compact"/>
        <w:numPr>
          <w:ilvl w:val="0"/>
          <w:numId w:val="1005"/>
        </w:numPr>
      </w:pPr>
      <w:r>
        <w:t xml:space="preserve">Potential emphasis on commercial banking, payments, technology, and operating discipline—areas aligned with Lyons’s background.</w:t>
      </w:r>
    </w:p>
    <w:p>
      <w:pPr>
        <w:pStyle w:val="FirstParagraph"/>
      </w:pPr>
      <w:r>
        <w:t xml:space="preserve">The CEO transition is a potential catalyst because it may increase conviction around execution; it is also a near-term source of uncertainty if messaging becomes less consistent with the established plan.</w:t>
      </w:r>
    </w:p>
    <w:bookmarkEnd w:id="18"/>
    <w:bookmarkStart w:id="21" w:name="X31ae231379c2469820ce98cef56e857ce68e0ff"/>
    <w:p>
      <w:pPr>
        <w:pStyle w:val="Heading2"/>
      </w:pPr>
      <w:r>
        <w:t xml:space="preserve">What would constitute a positive or negative report?</w:t>
      </w:r>
    </w:p>
    <w:bookmarkStart w:id="19" w:name="bullish-outcome"/>
    <w:p>
      <w:pPr>
        <w:pStyle w:val="Heading3"/>
      </w:pPr>
      <w:r>
        <w:t xml:space="preserve">Bullish outcome</w:t>
      </w:r>
    </w:p>
    <w:p>
      <w:pPr>
        <w:pStyle w:val="Compact"/>
        <w:numPr>
          <w:ilvl w:val="0"/>
          <w:numId w:val="1006"/>
        </w:numPr>
      </w:pPr>
      <w:r>
        <w:t xml:space="preserve">EPS and revenue above consensus;</w:t>
      </w:r>
    </w:p>
    <w:p>
      <w:pPr>
        <w:pStyle w:val="Compact"/>
        <w:numPr>
          <w:ilvl w:val="0"/>
          <w:numId w:val="1006"/>
        </w:numPr>
      </w:pPr>
      <w:r>
        <w:t xml:space="preserve">NII grows at least in line with the ~1% sequential guide, with stable-to-improving NIM;</w:t>
      </w:r>
    </w:p>
    <w:p>
      <w:pPr>
        <w:pStyle w:val="Compact"/>
        <w:numPr>
          <w:ilvl w:val="0"/>
          <w:numId w:val="1006"/>
        </w:numPr>
      </w:pPr>
      <w:r>
        <w:t xml:space="preserve">Deposit growth and costs show that competitive pressure is manageable;</w:t>
      </w:r>
    </w:p>
    <w:p>
      <w:pPr>
        <w:pStyle w:val="Compact"/>
        <w:numPr>
          <w:ilvl w:val="0"/>
          <w:numId w:val="1006"/>
        </w:numPr>
      </w:pPr>
      <w:r>
        <w:t xml:space="preserve">Fee income remains strong enough to sustain the high-single-digit 2026 outlook;</w:t>
      </w:r>
    </w:p>
    <w:p>
      <w:pPr>
        <w:pStyle w:val="Compact"/>
        <w:numPr>
          <w:ilvl w:val="0"/>
          <w:numId w:val="1006"/>
        </w:numPr>
      </w:pPr>
      <w:r>
        <w:t xml:space="preserve">Expenses stay within the guided seasonal range;</w:t>
      </w:r>
    </w:p>
    <w:p>
      <w:pPr>
        <w:pStyle w:val="Compact"/>
        <w:numPr>
          <w:ilvl w:val="0"/>
          <w:numId w:val="1006"/>
        </w:numPr>
      </w:pPr>
      <w:r>
        <w:t xml:space="preserve">Credit outlook and the $5B buyback target are reaffirmed;</w:t>
      </w:r>
    </w:p>
    <w:p>
      <w:pPr>
        <w:pStyle w:val="Compact"/>
        <w:numPr>
          <w:ilvl w:val="0"/>
          <w:numId w:val="1006"/>
        </w:numPr>
      </w:pPr>
      <w:r>
        <w:t xml:space="preserve">Management reiterates confidence in 14% ROTCE for 2026.</w:t>
      </w:r>
    </w:p>
    <w:bookmarkEnd w:id="19"/>
    <w:bookmarkStart w:id="20" w:name="bearish-outcome"/>
    <w:p>
      <w:pPr>
        <w:pStyle w:val="Heading3"/>
      </w:pPr>
      <w:r>
        <w:t xml:space="preserve">Bearish outcome</w:t>
      </w:r>
    </w:p>
    <w:p>
      <w:pPr>
        <w:pStyle w:val="Compact"/>
        <w:numPr>
          <w:ilvl w:val="0"/>
          <w:numId w:val="1007"/>
        </w:numPr>
      </w:pPr>
      <w:r>
        <w:t xml:space="preserve">NII misses because of deposit repricing or mix deterioration;</w:t>
      </w:r>
    </w:p>
    <w:p>
      <w:pPr>
        <w:pStyle w:val="Compact"/>
        <w:numPr>
          <w:ilvl w:val="0"/>
          <w:numId w:val="1007"/>
        </w:numPr>
      </w:pPr>
      <w:r>
        <w:t xml:space="preserve">Deposit growth relies on elevated pricing, weakening margin prospects;</w:t>
      </w:r>
    </w:p>
    <w:p>
      <w:pPr>
        <w:pStyle w:val="Compact"/>
        <w:numPr>
          <w:ilvl w:val="0"/>
          <w:numId w:val="1007"/>
        </w:numPr>
      </w:pPr>
      <w:r>
        <w:t xml:space="preserve">Fee-income softness extends beyond the guided sequential decline in IB&amp;T;</w:t>
      </w:r>
    </w:p>
    <w:p>
      <w:pPr>
        <w:pStyle w:val="Compact"/>
        <w:numPr>
          <w:ilvl w:val="0"/>
          <w:numId w:val="1007"/>
        </w:numPr>
      </w:pPr>
      <w:r>
        <w:t xml:space="preserve">Expense growth exceeds guidance without a commensurate revenue benefit;</w:t>
      </w:r>
    </w:p>
    <w:p>
      <w:pPr>
        <w:pStyle w:val="Compact"/>
        <w:numPr>
          <w:ilvl w:val="0"/>
          <w:numId w:val="1007"/>
        </w:numPr>
      </w:pPr>
      <w:r>
        <w:t xml:space="preserve">Credit costs rise materially, particularly in commercial construction, CRE, or consumer;</w:t>
      </w:r>
    </w:p>
    <w:p>
      <w:pPr>
        <w:pStyle w:val="Compact"/>
        <w:numPr>
          <w:ilvl w:val="0"/>
          <w:numId w:val="1007"/>
        </w:numPr>
      </w:pPr>
      <w:r>
        <w:t xml:space="preserve">Buybacks or return targets are moderated.</w:t>
      </w:r>
    </w:p>
    <w:bookmarkEnd w:id="20"/>
    <w:bookmarkEnd w:id="21"/>
    <w:bookmarkStart w:id="23" w:name="bottom-line"/>
    <w:p>
      <w:pPr>
        <w:pStyle w:val="Heading2"/>
      </w:pPr>
      <w:r>
        <w:t xml:space="preserve">Bottom line</w:t>
      </w:r>
    </w:p>
    <w:p>
      <w:pPr>
        <w:pStyle w:val="FirstParagraph"/>
      </w:pPr>
      <w:r>
        <w:t xml:space="preserve">TFC does not need an exceptional 2Q to support the investment case. It needs to</w:t>
      </w:r>
      <w:r>
        <w:t xml:space="preserve"> </w:t>
      </w:r>
      <w:r>
        <w:rPr>
          <w:b/>
          <w:bCs/>
        </w:rPr>
        <w:t xml:space="preserve">execute against its own framework</w:t>
      </w:r>
      <w:r>
        <w:t xml:space="preserve">: stable revenue, modest NII recovery, controlled expense growth, healthy commercial-led loan and deposit growth, stable credit, and continued large-scale repurchases.</w:t>
      </w:r>
    </w:p>
    <w:p>
      <w:pPr>
        <w:pStyle w:val="BodyText"/>
      </w:pPr>
      <w:r>
        <w:t xml:space="preserve">With the stock up about 10% since the leadership announcement and the Street expecting $1.08 of EPS, the market is likely to reward a report that de-risks the second-half NIM trajectory and validates fee-income durability. The most consequential datapoints will be</w:t>
      </w:r>
      <w:r>
        <w:t xml:space="preserve"> </w:t>
      </w:r>
      <w:r>
        <w:rPr>
          <w:b/>
          <w:bCs/>
        </w:rPr>
        <w:t xml:space="preserve">deposit mix/cost, NII and NIM guidance, credit normalization, and confidence in the $5B 2026 buyback plan</w:t>
      </w:r>
      <w:r>
        <w:t xml:space="preserve">.</w:t>
      </w:r>
    </w:p>
    <w:p>
      <w:r>
        <w:pict>
          <v:rect style="width:0;height:1.5pt" o:hralign="center" o:hrstd="t" o:hr="t"/>
        </w:pict>
      </w:r>
    </w:p>
    <w:bookmarkStart w:id="22" w:name="sources"/>
    <w:p>
      <w:pPr>
        <w:pStyle w:val="Heading3"/>
      </w:pPr>
      <w:r>
        <w:t xml:space="preserve">Sources</w:t>
      </w:r>
    </w:p>
    <w:p>
      <w:pPr>
        <w:pStyle w:val="Compact"/>
        <w:numPr>
          <w:ilvl w:val="0"/>
          <w:numId w:val="1008"/>
        </w:numPr>
      </w:pPr>
      <w:r>
        <w:t xml:space="preserve">Truist 1Q26 earnings release and quarterly performance disclosures, April 17, 2026.</w:t>
      </w:r>
    </w:p>
    <w:p>
      <w:pPr>
        <w:pStyle w:val="Compact"/>
        <w:numPr>
          <w:ilvl w:val="0"/>
          <w:numId w:val="1008"/>
        </w:numPr>
      </w:pPr>
      <w:r>
        <w:t xml:space="preserve">Truist 1Q26 earnings-call transcript, including 2Q26 and full-year 2026 guidance.</w:t>
      </w:r>
    </w:p>
    <w:p>
      <w:pPr>
        <w:pStyle w:val="Compact"/>
        <w:numPr>
          <w:ilvl w:val="0"/>
          <w:numId w:val="1008"/>
        </w:numPr>
      </w:pPr>
      <w:r>
        <w:t xml:space="preserve">Truist 2Q25 earnings release, for year-over-year comparisons.</w:t>
      </w:r>
    </w:p>
    <w:p>
      <w:pPr>
        <w:pStyle w:val="Compact"/>
        <w:numPr>
          <w:ilvl w:val="0"/>
          <w:numId w:val="1008"/>
        </w:numPr>
      </w:pPr>
      <w:r>
        <w:t xml:space="preserve">Truist Form 8-K dated June 15, 2026, regarding the CEO transition.</w:t>
      </w:r>
    </w:p>
    <w:p>
      <w:pPr>
        <w:pStyle w:val="Compact"/>
        <w:numPr>
          <w:ilvl w:val="0"/>
          <w:numId w:val="1008"/>
        </w:numPr>
      </w:pPr>
      <w:r>
        <w:t xml:space="preserve">Market-data and news digest as of July 16, 2026.</w:t>
      </w:r>
    </w:p>
    <w:p>
      <w:pPr>
        <w:pStyle w:val="FirstParagraph"/>
      </w:pPr>
      <w:r>
        <w:rPr>
          <w:i/>
          <w:iCs/>
        </w:rPr>
        <w:t xml:space="preserve">This is an earnings preview for informational purposes, not investment advice.</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2026-07-17T00:02:33Z</dcterms:created>
  <dcterms:modified xsi:type="dcterms:W3CDTF">2026-07-17T00:02:33Z</dcterms:modified>
</cp:coreProperties>
</file>

<file path=docProps/custom.xml><?xml version="1.0" encoding="utf-8"?>
<Properties xmlns="http://schemas.openxmlformats.org/officeDocument/2006/custom-properties" xmlns:vt="http://schemas.openxmlformats.org/officeDocument/2006/docPropsVTypes"/>
</file>