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Truist Financial Corporation (TFC)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Truist Financial Corporation</w:t>
            </w:r>
          </w:p>
        </w:tc>
      </w:tr>
      <w:tr>
        <w:tc>
          <w:tcPr>
            <w:tcW w:type="dxa" w:w="4320"/>
          </w:tcPr>
          <w:p>
            <w:r>
              <w:rPr>
                <w:rFonts w:ascii="Calibri" w:hAnsi="Calibri"/>
                <w:b/>
                <w:sz w:val="22"/>
              </w:rPr>
              <w:t>Ticker</w:t>
            </w:r>
          </w:p>
        </w:tc>
        <w:tc>
          <w:tcPr>
            <w:tcW w:type="dxa" w:w="4320"/>
          </w:tcPr>
          <w:p>
            <w:r>
              <w:rPr>
                <w:rFonts w:ascii="Calibri" w:hAnsi="Calibri"/>
                <w:sz w:val="22"/>
              </w:rPr>
              <w:t>NYSE: TFC</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Mid-July 2026 (exact date TBD)</w:t>
            </w:r>
          </w:p>
        </w:tc>
      </w:tr>
      <w:tr>
        <w:tc>
          <w:tcPr>
            <w:tcW w:type="dxa" w:w="4320"/>
          </w:tcPr>
          <w:p>
            <w:r>
              <w:rPr>
                <w:rFonts w:ascii="Calibri" w:hAnsi="Calibri"/>
                <w:b/>
                <w:sz w:val="22"/>
              </w:rPr>
              <w:t>Preparation Date</w:t>
            </w:r>
          </w:p>
        </w:tc>
        <w:tc>
          <w:tcPr>
            <w:tcW w:type="dxa" w:w="4320"/>
          </w:tcPr>
          <w:p>
            <w:r>
              <w:rPr>
                <w:rFonts w:ascii="Calibri" w:hAnsi="Calibri"/>
                <w:sz w:val="22"/>
              </w:rPr>
              <w:t>July 16, 2026</w:t>
            </w:r>
          </w:p>
        </w:tc>
      </w:tr>
      <w:tr>
        <w:tc>
          <w:tcPr>
            <w:tcW w:type="dxa" w:w="4320"/>
          </w:tcPr>
          <w:p>
            <w:r>
              <w:rPr>
                <w:rFonts w:ascii="Calibri" w:hAnsi="Calibri"/>
                <w:b/>
                <w:sz w:val="22"/>
              </w:rPr>
              <w:t>Last Reported Period</w:t>
            </w:r>
          </w:p>
        </w:tc>
        <w:tc>
          <w:tcPr>
            <w:tcW w:type="dxa" w:w="4320"/>
          </w:tcPr>
          <w:p>
            <w:r>
              <w:rPr>
                <w:rFonts w:ascii="Calibri" w:hAnsi="Calibri"/>
                <w:sz w:val="22"/>
              </w:rPr>
              <w:t>Q1 2026 (reported April 17,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TFC’s Q2 2026 print is cautiously constructive — consensus EPS of $1.08 represents a modest bar after a strong Q1 beat, but the single biggest swing factor is whether </w:t>
      </w:r>
      <w:r>
        <w:rPr>
          <w:rFonts w:ascii="Calibri" w:hAnsi="Calibri"/>
          <w:b/>
          <w:color w:val="525866"/>
          <w:sz w:val="22"/>
        </w:rPr>
        <w:t>investment banking &amp; trading momentum</w:t>
      </w:r>
      <w:r>
        <w:rPr>
          <w:rFonts w:ascii="Calibri" w:hAnsi="Calibri"/>
          <w:color w:val="525866"/>
          <w:sz w:val="22"/>
        </w:rPr>
        <w:t xml:space="preserve"> can again surprise to the upside and offset any NII softness.</w:t>
      </w:r>
    </w:p>
    <w:p>
      <w:r>
        <w:rPr>
          <w:rFonts w:ascii="Calibri" w:hAnsi="Calibri"/>
          <w:color w:val="525866"/>
          <w:sz w:val="22"/>
        </w:rPr>
        <w:t xml:space="preserve">Heading into Q2 2026, Truist faces a consensus EPS estimate of $1.08 (operating, diluted) — a bar that looks achievable but not easy given the removal of Fed rate cut assumptions from the NII outlook. Management guided Q2 NIM to be “relatively stable” sequentially after Q1’s 3.02% FTE print, implying NII growth will be modest at best in the near term, with the real NII acceleration deferred to 2H 2026 as fixed-rate assets reprice. On the fee side, the tone from the Q1 call was notably bullish: management guided investment banking &amp; trading to potentially reach “high teens or even 20%” full-year growth, and the Q2 peer read-through from BAC, WFC, JPM, and CFG all confirm a strong capital markets environment that should benefit TFC’s franchise. </w:t>
      </w:r>
      <w:r>
        <w:rPr>
          <w:rFonts w:ascii="Calibri" w:hAnsi="Calibri"/>
          <w:b/>
          <w:color w:val="525866"/>
          <w:sz w:val="22"/>
        </w:rPr>
        <w:t>Estimate revisions have been modestly positive since the Q1 print</w:t>
      </w:r>
      <w:r>
        <w:rPr>
          <w:rFonts w:ascii="Calibri" w:hAnsi="Calibri"/>
          <w:color w:val="525866"/>
          <w:sz w:val="22"/>
        </w:rPr>
        <w:t xml:space="preserve"> — the Q2 2026 consensus EPS moved from $1.07 (as of April 22) to $1.08 currently — suggesting the Street is incrementally more constructive but not euphoric. The stock has lagged the KRE regional bank ETF since Q1 earnings (+5.3% vs. +10.7% for KRE), suggesting TFC has not fully priced in a beat and the multiple remains undemanding. The key wildcard is the </w:t>
      </w:r>
      <w:r>
        <w:rPr>
          <w:rFonts w:ascii="Calibri" w:hAnsi="Calibri"/>
          <w:b/>
          <w:color w:val="525866"/>
          <w:sz w:val="22"/>
        </w:rPr>
        <w:t>CEO succession announced June 15</w:t>
      </w:r>
      <w:r>
        <w:rPr>
          <w:rFonts w:ascii="Calibri" w:hAnsi="Calibri"/>
          <w:color w:val="525866"/>
          <w:sz w:val="22"/>
        </w:rPr>
        <w:t xml:space="preserve"> (incoming CEO Michael Lyons, effective September 1), which introduces strategic uncertainty but also potential for a re-rating if Lyons signals continuity and acceleration of the ROTCE roadmap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on NII ($3.64B) and operating EPS ($1.08), both slightly above Q1 actuals; </w:t>
      </w:r>
      <w:r>
        <w:rPr>
          <w:rFonts w:ascii="Calibri" w:hAnsi="Calibri"/>
          <w:b/>
          <w:color w:val="525866"/>
          <w:sz w:val="22"/>
        </w:rPr>
        <w:t>fee income is the bigger swing factor</w:t>
      </w:r>
      <w:r>
        <w:rPr>
          <w:rFonts w:ascii="Calibri" w:hAnsi="Calibri"/>
          <w:color w:val="525866"/>
          <w:sz w:val="22"/>
        </w:rPr>
        <w:t xml:space="preserve"> given management’s bullish tone and strong peer read-through from Q2 capital markets activity.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EPS (Diluted)</w:t>
            </w:r>
          </w:p>
        </w:tc>
        <w:tc>
          <w:tcPr>
            <w:tcW w:type="dxa" w:w="1234"/>
          </w:tcPr>
          <w:p>
            <w:r>
              <w:rPr>
                <w:rFonts w:ascii="Calibri" w:hAnsi="Calibri"/>
                <w:sz w:val="22"/>
              </w:rPr>
              <w:t>$1.09</w:t>
            </w:r>
          </w:p>
        </w:tc>
        <w:tc>
          <w:tcPr>
            <w:tcW w:type="dxa" w:w="1234"/>
          </w:tcPr>
          <w:p>
            <w:r>
              <w:rPr>
                <w:rFonts w:ascii="Calibri" w:hAnsi="Calibri"/>
                <w:sz w:val="22"/>
              </w:rPr>
              <w:t>$0.90</w:t>
            </w:r>
          </w:p>
        </w:tc>
        <w:tc>
          <w:tcPr>
            <w:tcW w:type="dxa" w:w="1234"/>
          </w:tcPr>
          <w:p>
            <w:r>
              <w:rPr>
                <w:rFonts w:ascii="Calibri" w:hAnsi="Calibri"/>
                <w:sz w:val="22"/>
              </w:rPr>
              <w:t>$1.08</w:t>
            </w:r>
          </w:p>
        </w:tc>
        <w:tc>
          <w:tcPr>
            <w:tcW w:type="dxa" w:w="1234"/>
          </w:tcPr>
          <w:p>
            <w:r>
              <w:rPr>
                <w:rFonts w:ascii="Calibri" w:hAnsi="Calibri"/>
                <w:sz w:val="22"/>
              </w:rPr>
              <w:t>+19.9% YoY</w:t>
            </w:r>
          </w:p>
        </w:tc>
        <w:tc>
          <w:tcPr>
            <w:tcW w:type="dxa" w:w="1234"/>
          </w:tcPr>
          <w:p>
            <w:r>
              <w:rPr>
                <w:rFonts w:ascii="Calibri" w:hAnsi="Calibri"/>
                <w:sz w:val="22"/>
              </w:rPr>
              <w:t>FY26 EPS trajectory unchanged from Jan guidance</w:t>
            </w:r>
          </w:p>
        </w:tc>
        <w:tc>
          <w:tcPr>
            <w:tcW w:type="dxa" w:w="1234"/>
          </w:tcPr>
          <w:p>
            <w:r>
              <w:rPr>
                <w:rFonts w:ascii="Calibri" w:hAnsi="Calibri"/>
                <w:sz w:val="22"/>
              </w:rPr>
              <w:t>In line with FY trajectory</w:t>
            </w:r>
          </w:p>
        </w:tc>
      </w:tr>
      <w:tr>
        <w:tc>
          <w:tcPr>
            <w:tcW w:type="dxa" w:w="1234"/>
          </w:tcPr>
          <w:p>
            <w:r>
              <w:rPr>
                <w:rFonts w:ascii="Calibri" w:hAnsi="Calibri"/>
                <w:sz w:val="22"/>
              </w:rPr>
              <w:t>Net Interest Income (NII)</w:t>
            </w:r>
          </w:p>
        </w:tc>
        <w:tc>
          <w:tcPr>
            <w:tcW w:type="dxa" w:w="1234"/>
          </w:tcPr>
          <w:p>
            <w:r>
              <w:rPr>
                <w:rFonts w:ascii="Calibri" w:hAnsi="Calibri"/>
                <w:sz w:val="22"/>
              </w:rPr>
              <w:t>$3.60B</w:t>
            </w:r>
          </w:p>
        </w:tc>
        <w:tc>
          <w:tcPr>
            <w:tcW w:type="dxa" w:w="1234"/>
          </w:tcPr>
          <w:p>
            <w:r>
              <w:rPr>
                <w:rFonts w:ascii="Calibri" w:hAnsi="Calibri"/>
                <w:sz w:val="22"/>
              </w:rPr>
              <w:t>$3.59B</w:t>
            </w:r>
          </w:p>
        </w:tc>
        <w:tc>
          <w:tcPr>
            <w:tcW w:type="dxa" w:w="1234"/>
          </w:tcPr>
          <w:p>
            <w:r>
              <w:rPr>
                <w:rFonts w:ascii="Calibri" w:hAnsi="Calibri"/>
                <w:sz w:val="22"/>
              </w:rPr>
              <w:t>$3.64B</w:t>
            </w:r>
          </w:p>
        </w:tc>
        <w:tc>
          <w:tcPr>
            <w:tcW w:type="dxa" w:w="1234"/>
          </w:tcPr>
          <w:p>
            <w:r>
              <w:rPr>
                <w:rFonts w:ascii="Calibri" w:hAnsi="Calibri"/>
                <w:sz w:val="22"/>
              </w:rPr>
              <w:t>+1.4% YoY</w:t>
            </w:r>
          </w:p>
        </w:tc>
        <w:tc>
          <w:tcPr>
            <w:tcW w:type="dxa" w:w="1234"/>
          </w:tcPr>
          <w:p>
            <w:r>
              <w:rPr>
                <w:rFonts w:ascii="Calibri" w:hAnsi="Calibri"/>
                <w:sz w:val="22"/>
              </w:rPr>
              <w:t>FY26 NII +2% to +3% YoY; Q2 NIM relatively stable sequentially</w:t>
            </w:r>
          </w:p>
        </w:tc>
        <w:tc>
          <w:tcPr>
            <w:tcW w:type="dxa" w:w="1234"/>
          </w:tcPr>
          <w:p>
            <w:r>
              <w:rPr>
                <w:rFonts w:ascii="Calibri" w:hAnsi="Calibri"/>
                <w:sz w:val="22"/>
              </w:rPr>
              <w:t>~+0.5% above Q2 implied run-rate</w:t>
            </w:r>
          </w:p>
        </w:tc>
      </w:tr>
      <w:tr>
        <w:tc>
          <w:tcPr>
            <w:tcW w:type="dxa" w:w="1234"/>
          </w:tcPr>
          <w:p>
            <w:r>
              <w:rPr>
                <w:rFonts w:ascii="Calibri" w:hAnsi="Calibri"/>
                <w:sz w:val="22"/>
              </w:rPr>
              <w:t>Net Interest Margin — FTE (%)</w:t>
            </w:r>
          </w:p>
        </w:tc>
        <w:tc>
          <w:tcPr>
            <w:tcW w:type="dxa" w:w="1234"/>
          </w:tcPr>
          <w:p>
            <w:r>
              <w:rPr>
                <w:rFonts w:ascii="Calibri" w:hAnsi="Calibri"/>
                <w:sz w:val="22"/>
              </w:rPr>
              <w:t>3.02%</w:t>
            </w:r>
          </w:p>
        </w:tc>
        <w:tc>
          <w:tcPr>
            <w:tcW w:type="dxa" w:w="1234"/>
          </w:tcPr>
          <w:p>
            <w:r>
              <w:rPr>
                <w:rFonts w:ascii="Calibri" w:hAnsi="Calibri"/>
                <w:sz w:val="22"/>
              </w:rPr>
              <w:t>3.02%</w:t>
            </w:r>
          </w:p>
        </w:tc>
        <w:tc>
          <w:tcPr>
            <w:tcW w:type="dxa" w:w="1234"/>
          </w:tcPr>
          <w:p>
            <w:r>
              <w:rPr>
                <w:rFonts w:ascii="Calibri" w:hAnsi="Calibri"/>
                <w:sz w:val="22"/>
              </w:rPr>
              <w:t>3.02%</w:t>
            </w:r>
          </w:p>
        </w:tc>
        <w:tc>
          <w:tcPr>
            <w:tcW w:type="dxa" w:w="1234"/>
          </w:tcPr>
          <w:p>
            <w:r>
              <w:rPr>
                <w:rFonts w:ascii="Calibri" w:hAnsi="Calibri"/>
                <w:sz w:val="22"/>
              </w:rPr>
              <w:t>Flat YoY</w:t>
            </w:r>
          </w:p>
        </w:tc>
        <w:tc>
          <w:tcPr>
            <w:tcW w:type="dxa" w:w="1234"/>
          </w:tcPr>
          <w:p>
            <w:r>
              <w:rPr>
                <w:rFonts w:ascii="Calibri" w:hAnsi="Calibri"/>
                <w:sz w:val="22"/>
              </w:rPr>
              <w:t>Q2 NIM “relatively stable”; expansion expected in 2H 2026</w:t>
            </w:r>
          </w:p>
        </w:tc>
        <w:tc>
          <w:tcPr>
            <w:tcW w:type="dxa" w:w="1234"/>
          </w:tcPr>
          <w:p>
            <w:r>
              <w:rPr>
                <w:rFonts w:ascii="Calibri" w:hAnsi="Calibri"/>
                <w:sz w:val="22"/>
              </w:rPr>
              <w:t>In line with guidance</w:t>
            </w:r>
          </w:p>
        </w:tc>
      </w:tr>
      <w:tr>
        <w:tc>
          <w:tcPr>
            <w:tcW w:type="dxa" w:w="1234"/>
          </w:tcPr>
          <w:p>
            <w:r>
              <w:rPr>
                <w:rFonts w:ascii="Calibri" w:hAnsi="Calibri"/>
                <w:sz w:val="22"/>
              </w:rPr>
              <w:t>Total Noninterest Income — Operating</w:t>
            </w:r>
          </w:p>
        </w:tc>
        <w:tc>
          <w:tcPr>
            <w:tcW w:type="dxa" w:w="1234"/>
          </w:tcPr>
          <w:p>
            <w:r>
              <w:rPr>
                <w:rFonts w:ascii="Calibri" w:hAnsi="Calibri"/>
                <w:sz w:val="22"/>
              </w:rPr>
              <w:t>$1.55B</w:t>
            </w:r>
          </w:p>
        </w:tc>
        <w:tc>
          <w:tcPr>
            <w:tcW w:type="dxa" w:w="1234"/>
          </w:tcPr>
          <w:p>
            <w:r>
              <w:rPr>
                <w:rFonts w:ascii="Calibri" w:hAnsi="Calibri"/>
                <w:sz w:val="22"/>
              </w:rPr>
              <w:t>$1.42B</w:t>
            </w:r>
          </w:p>
        </w:tc>
        <w:tc>
          <w:tcPr>
            <w:tcW w:type="dxa" w:w="1234"/>
          </w:tcPr>
          <w:p>
            <w:r>
              <w:rPr>
                <w:rFonts w:ascii="Calibri" w:hAnsi="Calibri"/>
                <w:sz w:val="22"/>
              </w:rPr>
              <w:t>$1.54B</w:t>
            </w:r>
          </w:p>
        </w:tc>
        <w:tc>
          <w:tcPr>
            <w:tcW w:type="dxa" w:w="1234"/>
          </w:tcPr>
          <w:p>
            <w:r>
              <w:rPr>
                <w:rFonts w:ascii="Calibri" w:hAnsi="Calibri"/>
                <w:sz w:val="22"/>
              </w:rPr>
              <w:t>+8.6% YoY</w:t>
            </w:r>
          </w:p>
        </w:tc>
        <w:tc>
          <w:tcPr>
            <w:tcW w:type="dxa" w:w="1234"/>
          </w:tcPr>
          <w:p>
            <w:r>
              <w:rPr>
                <w:rFonts w:ascii="Calibri" w:hAnsi="Calibri"/>
                <w:sz w:val="22"/>
              </w:rPr>
              <w:t>FY26 noninterest income: high single-digit growth (raised from mid-to-high)</w:t>
            </w:r>
          </w:p>
        </w:tc>
        <w:tc>
          <w:tcPr>
            <w:tcW w:type="dxa" w:w="1234"/>
          </w:tcPr>
          <w:p>
            <w:r>
              <w:rPr>
                <w:rFonts w:ascii="Calibri" w:hAnsi="Calibri"/>
                <w:sz w:val="22"/>
              </w:rPr>
              <w:t>Slightly below Q1 run-rate; upside risk from IB</w:t>
            </w:r>
          </w:p>
        </w:tc>
      </w:tr>
      <w:tr>
        <w:tc>
          <w:tcPr>
            <w:tcW w:type="dxa" w:w="1234"/>
          </w:tcPr>
          <w:p>
            <w:r>
              <w:rPr>
                <w:rFonts w:ascii="Calibri" w:hAnsi="Calibri"/>
                <w:sz w:val="22"/>
              </w:rPr>
              <w:t>Total Noninterest Expense — Operating</w:t>
            </w:r>
          </w:p>
        </w:tc>
        <w:tc>
          <w:tcPr>
            <w:tcW w:type="dxa" w:w="1234"/>
          </w:tcPr>
          <w:p>
            <w:r>
              <w:rPr>
                <w:rFonts w:ascii="Calibri" w:hAnsi="Calibri"/>
                <w:sz w:val="22"/>
              </w:rPr>
              <w:t>$2.98B</w:t>
            </w:r>
          </w:p>
        </w:tc>
        <w:tc>
          <w:tcPr>
            <w:tcW w:type="dxa" w:w="1234"/>
          </w:tcPr>
          <w:p>
            <w:r>
              <w:rPr>
                <w:rFonts w:ascii="Calibri" w:hAnsi="Calibri"/>
                <w:sz w:val="22"/>
              </w:rPr>
              <w:t>$2.99B</w:t>
            </w:r>
          </w:p>
        </w:tc>
        <w:tc>
          <w:tcPr>
            <w:tcW w:type="dxa" w:w="1234"/>
          </w:tcPr>
          <w:p>
            <w:r>
              <w:rPr>
                <w:rFonts w:ascii="Calibri" w:hAnsi="Calibri"/>
                <w:sz w:val="22"/>
              </w:rPr>
              <w:t>$3.08B</w:t>
            </w:r>
          </w:p>
        </w:tc>
        <w:tc>
          <w:tcPr>
            <w:tcW w:type="dxa" w:w="1234"/>
          </w:tcPr>
          <w:p>
            <w:r>
              <w:rPr>
                <w:rFonts w:ascii="Calibri" w:hAnsi="Calibri"/>
                <w:sz w:val="22"/>
              </w:rPr>
              <w:t>+3.0% YoY</w:t>
            </w:r>
          </w:p>
        </w:tc>
        <w:tc>
          <w:tcPr>
            <w:tcW w:type="dxa" w:w="1234"/>
          </w:tcPr>
          <w:p>
            <w:r>
              <w:rPr>
                <w:rFonts w:ascii="Calibri" w:hAnsi="Calibri"/>
                <w:sz w:val="22"/>
              </w:rPr>
              <w:t>FY26 GAAP noninterest expense +~1.75% YoY</w:t>
            </w:r>
          </w:p>
        </w:tc>
        <w:tc>
          <w:tcPr>
            <w:tcW w:type="dxa" w:w="1234"/>
          </w:tcPr>
          <w:p>
            <w:r>
              <w:rPr>
                <w:rFonts w:ascii="Calibri" w:hAnsi="Calibri"/>
                <w:sz w:val="22"/>
              </w:rPr>
              <w:t>Consensus slightly above FY run-rate; watch for seasonal step-up</w:t>
            </w:r>
          </w:p>
        </w:tc>
      </w:tr>
      <w:tr>
        <w:tc>
          <w:tcPr>
            <w:tcW w:type="dxa" w:w="1234"/>
          </w:tcPr>
          <w:p>
            <w:r>
              <w:rPr>
                <w:rFonts w:ascii="Calibri" w:hAnsi="Calibri"/>
                <w:sz w:val="22"/>
              </w:rPr>
              <w:t>ROTCE — Operating (%)</w:t>
            </w:r>
          </w:p>
        </w:tc>
        <w:tc>
          <w:tcPr>
            <w:tcW w:type="dxa" w:w="1234"/>
          </w:tcPr>
          <w:p>
            <w:r>
              <w:rPr>
                <w:rFonts w:ascii="Calibri" w:hAnsi="Calibri"/>
                <w:sz w:val="22"/>
              </w:rPr>
              <w:t>13.3%</w:t>
            </w:r>
          </w:p>
        </w:tc>
        <w:tc>
          <w:tcPr>
            <w:tcW w:type="dxa" w:w="1234"/>
          </w:tcPr>
          <w:p>
            <w:r>
              <w:rPr>
                <w:rFonts w:ascii="Calibri" w:hAnsi="Calibri"/>
                <w:sz w:val="22"/>
              </w:rPr>
              <w:t>11.7%</w:t>
            </w:r>
          </w:p>
        </w:tc>
        <w:tc>
          <w:tcPr>
            <w:tcW w:type="dxa" w:w="1234"/>
          </w:tcPr>
          <w:p>
            <w:r>
              <w:rPr>
                <w:rFonts w:ascii="Calibri" w:hAnsi="Calibri"/>
                <w:sz w:val="22"/>
              </w:rPr>
              <w:t>13.0%</w:t>
            </w:r>
          </w:p>
        </w:tc>
        <w:tc>
          <w:tcPr>
            <w:tcW w:type="dxa" w:w="1234"/>
          </w:tcPr>
          <w:p>
            <w:r>
              <w:rPr>
                <w:rFonts w:ascii="Calibri" w:hAnsi="Calibri"/>
                <w:sz w:val="22"/>
              </w:rPr>
              <w:t>+130 bps YoY</w:t>
            </w:r>
          </w:p>
        </w:tc>
        <w:tc>
          <w:tcPr>
            <w:tcW w:type="dxa" w:w="1234"/>
          </w:tcPr>
          <w:p>
            <w:r>
              <w:rPr>
                <w:rFonts w:ascii="Calibri" w:hAnsi="Calibri"/>
                <w:sz w:val="22"/>
              </w:rPr>
              <w:t>14% ROTCE target for FY26; 15% for FY27</w:t>
            </w:r>
          </w:p>
        </w:tc>
        <w:tc>
          <w:tcPr>
            <w:tcW w:type="dxa" w:w="1234"/>
          </w:tcPr>
          <w:p>
            <w:r>
              <w:rPr>
                <w:rFonts w:ascii="Calibri" w:hAnsi="Calibri"/>
                <w:sz w:val="22"/>
              </w:rPr>
              <w:t>Below FY target; 2H ramp required</w:t>
            </w:r>
          </w:p>
        </w:tc>
      </w:tr>
      <w:tr>
        <w:tc>
          <w:tcPr>
            <w:tcW w:type="dxa" w:w="1234"/>
          </w:tcPr>
          <w:p>
            <w:r>
              <w:rPr>
                <w:rFonts w:ascii="Calibri" w:hAnsi="Calibri"/>
                <w:sz w:val="22"/>
              </w:rPr>
              <w:t>Net Charge-Off Ratio (%)</w:t>
            </w:r>
          </w:p>
        </w:tc>
        <w:tc>
          <w:tcPr>
            <w:tcW w:type="dxa" w:w="1234"/>
          </w:tcPr>
          <w:p>
            <w:r>
              <w:rPr>
                <w:rFonts w:ascii="Calibri" w:hAnsi="Calibri"/>
                <w:sz w:val="22"/>
              </w:rPr>
              <w:t>0.60%</w:t>
            </w:r>
          </w:p>
        </w:tc>
        <w:tc>
          <w:tcPr>
            <w:tcW w:type="dxa" w:w="1234"/>
          </w:tcPr>
          <w:p>
            <w:r>
              <w:rPr>
                <w:rFonts w:ascii="Calibri" w:hAnsi="Calibri"/>
                <w:sz w:val="22"/>
              </w:rPr>
              <w:t>0.51%</w:t>
            </w:r>
          </w:p>
        </w:tc>
        <w:tc>
          <w:tcPr>
            <w:tcW w:type="dxa" w:w="1234"/>
          </w:tcPr>
          <w:p>
            <w:r>
              <w:rPr>
                <w:rFonts w:ascii="Calibri" w:hAnsi="Calibri"/>
                <w:sz w:val="22"/>
              </w:rPr>
              <w:t>0.55%</w:t>
            </w:r>
          </w:p>
        </w:tc>
        <w:tc>
          <w:tcPr>
            <w:tcW w:type="dxa" w:w="1234"/>
          </w:tcPr>
          <w:p>
            <w:r>
              <w:rPr>
                <w:rFonts w:ascii="Calibri" w:hAnsi="Calibri"/>
                <w:sz w:val="22"/>
              </w:rPr>
              <w:t>+4 bps YoY</w:t>
            </w:r>
          </w:p>
        </w:tc>
        <w:tc>
          <w:tcPr>
            <w:tcW w:type="dxa" w:w="1234"/>
          </w:tcPr>
          <w:p>
            <w:r>
              <w:rPr>
                <w:rFonts w:ascii="Calibri" w:hAnsi="Calibri"/>
                <w:sz w:val="22"/>
              </w:rPr>
              <w:t>No explicit quarterly NCO guidance; credit quality described as stable</w:t>
            </w:r>
          </w:p>
        </w:tc>
        <w:tc>
          <w:tcPr>
            <w:tcW w:type="dxa" w:w="1234"/>
          </w:tcPr>
          <w:p>
            <w:r>
              <w:rPr>
                <w:rFonts w:ascii="Calibri" w:hAnsi="Calibri"/>
                <w:sz w:val="22"/>
              </w:rPr>
              <w:t>N/A — no specific guidance midpoint</w:t>
            </w:r>
          </w:p>
        </w:tc>
      </w:tr>
      <w:tr>
        <w:tc>
          <w:tcPr>
            <w:tcW w:type="dxa" w:w="1234"/>
          </w:tcPr>
          <w:p>
            <w:r>
              <w:rPr>
                <w:rFonts w:ascii="Calibri" w:hAnsi="Calibri"/>
                <w:sz w:val="22"/>
              </w:rPr>
              <w:t>Total Loans &amp; Leases HFI</w:t>
            </w:r>
          </w:p>
        </w:tc>
        <w:tc>
          <w:tcPr>
            <w:tcW w:type="dxa" w:w="1234"/>
          </w:tcPr>
          <w:p>
            <w:r>
              <w:rPr>
                <w:rFonts w:ascii="Calibri" w:hAnsi="Calibri"/>
                <w:sz w:val="22"/>
              </w:rPr>
              <w:t>$329.2B</w:t>
            </w:r>
          </w:p>
        </w:tc>
        <w:tc>
          <w:tcPr>
            <w:tcW w:type="dxa" w:w="1234"/>
          </w:tcPr>
          <w:p>
            <w:r>
              <w:rPr>
                <w:rFonts w:ascii="Calibri" w:hAnsi="Calibri"/>
                <w:sz w:val="22"/>
              </w:rPr>
              <w:t>$318.8B</w:t>
            </w:r>
          </w:p>
        </w:tc>
        <w:tc>
          <w:tcPr>
            <w:tcW w:type="dxa" w:w="1234"/>
          </w:tcPr>
          <w:p>
            <w:r>
              <w:rPr>
                <w:rFonts w:ascii="Calibri" w:hAnsi="Calibri"/>
                <w:sz w:val="22"/>
              </w:rPr>
              <w:t>$330.4B</w:t>
            </w:r>
          </w:p>
        </w:tc>
        <w:tc>
          <w:tcPr>
            <w:tcW w:type="dxa" w:w="1234"/>
          </w:tcPr>
          <w:p>
            <w:r>
              <w:rPr>
                <w:rFonts w:ascii="Calibri" w:hAnsi="Calibri"/>
                <w:sz w:val="22"/>
              </w:rPr>
              <w:t>+3.6% YoY</w:t>
            </w:r>
          </w:p>
        </w:tc>
        <w:tc>
          <w:tcPr>
            <w:tcW w:type="dxa" w:w="1234"/>
          </w:tcPr>
          <w:p>
            <w:r>
              <w:rPr>
                <w:rFonts w:ascii="Calibri" w:hAnsi="Calibri"/>
                <w:sz w:val="22"/>
              </w:rPr>
              <w:t>FY26 average loan growth +3% to +4% YoY</w:t>
            </w:r>
          </w:p>
        </w:tc>
        <w:tc>
          <w:tcPr>
            <w:tcW w:type="dxa" w:w="1234"/>
          </w:tcPr>
          <w:p>
            <w:r>
              <w:rPr>
                <w:rFonts w:ascii="Calibri" w:hAnsi="Calibri"/>
                <w:sz w:val="22"/>
              </w:rPr>
              <w:t>In line with guidance range</w:t>
            </w:r>
          </w:p>
        </w:tc>
      </w:tr>
      <w:tr>
        <w:tc>
          <w:tcPr>
            <w:tcW w:type="dxa" w:w="1234"/>
          </w:tcPr>
          <w:p>
            <w:r>
              <w:rPr>
                <w:rFonts w:ascii="Calibri" w:hAnsi="Calibri"/>
                <w:sz w:val="22"/>
              </w:rPr>
              <w:t>Total Deposits</w:t>
            </w:r>
          </w:p>
        </w:tc>
        <w:tc>
          <w:tcPr>
            <w:tcW w:type="dxa" w:w="1234"/>
          </w:tcPr>
          <w:p>
            <w:r>
              <w:rPr>
                <w:rFonts w:ascii="Calibri" w:hAnsi="Calibri"/>
                <w:sz w:val="22"/>
              </w:rPr>
              <w:t>$404.1B</w:t>
            </w:r>
          </w:p>
        </w:tc>
        <w:tc>
          <w:tcPr>
            <w:tcW w:type="dxa" w:w="1234"/>
          </w:tcPr>
          <w:p>
            <w:r>
              <w:rPr>
                <w:rFonts w:ascii="Calibri" w:hAnsi="Calibri"/>
                <w:sz w:val="22"/>
              </w:rPr>
              <w:t>$406.1B</w:t>
            </w:r>
          </w:p>
        </w:tc>
        <w:tc>
          <w:tcPr>
            <w:tcW w:type="dxa" w:w="1234"/>
          </w:tcPr>
          <w:p>
            <w:r>
              <w:rPr>
                <w:rFonts w:ascii="Calibri" w:hAnsi="Calibri"/>
                <w:sz w:val="22"/>
              </w:rPr>
              <w:t>$404.5B</w:t>
            </w:r>
          </w:p>
        </w:tc>
        <w:tc>
          <w:tcPr>
            <w:tcW w:type="dxa" w:w="1234"/>
          </w:tcPr>
          <w:p>
            <w:r>
              <w:rPr>
                <w:rFonts w:ascii="Calibri" w:hAnsi="Calibri"/>
                <w:sz w:val="22"/>
              </w:rPr>
              <w:t>-0.4% YoY</w:t>
            </w:r>
          </w:p>
        </w:tc>
        <w:tc>
          <w:tcPr>
            <w:tcW w:type="dxa" w:w="1234"/>
          </w:tcPr>
          <w:p>
            <w:r>
              <w:rPr>
                <w:rFonts w:ascii="Calibri" w:hAnsi="Calibri"/>
                <w:sz w:val="22"/>
              </w:rPr>
              <w:t>FY26 average deposit growth: low single digits</w:t>
            </w:r>
          </w:p>
        </w:tc>
        <w:tc>
          <w:tcPr>
            <w:tcW w:type="dxa" w:w="1234"/>
          </w:tcPr>
          <w:p>
            <w:r>
              <w:rPr>
                <w:rFonts w:ascii="Calibri" w:hAnsi="Calibri"/>
                <w:sz w:val="22"/>
              </w:rPr>
              <w:t>Roughly in line with guidance</w:t>
            </w:r>
          </w:p>
        </w:tc>
      </w:tr>
      <w:tr>
        <w:tc>
          <w:tcPr>
            <w:tcW w:type="dxa" w:w="1234"/>
          </w:tcPr>
          <w:p>
            <w:r>
              <w:rPr>
                <w:rFonts w:ascii="Calibri" w:hAnsi="Calibri"/>
                <w:sz w:val="22"/>
              </w:rPr>
              <w:t>CET1 Capital Ratio (%)</w:t>
            </w:r>
          </w:p>
        </w:tc>
        <w:tc>
          <w:tcPr>
            <w:tcW w:type="dxa" w:w="1234"/>
          </w:tcPr>
          <w:p>
            <w:r>
              <w:rPr>
                <w:rFonts w:ascii="Calibri" w:hAnsi="Calibri"/>
                <w:sz w:val="22"/>
              </w:rPr>
              <w:t>10.80%</w:t>
            </w:r>
          </w:p>
        </w:tc>
        <w:tc>
          <w:tcPr>
            <w:tcW w:type="dxa" w:w="1234"/>
          </w:tcPr>
          <w:p>
            <w:r>
              <w:rPr>
                <w:rFonts w:ascii="Calibri" w:hAnsi="Calibri"/>
                <w:sz w:val="22"/>
              </w:rPr>
              <w:t>10.97%</w:t>
            </w:r>
          </w:p>
        </w:tc>
        <w:tc>
          <w:tcPr>
            <w:tcW w:type="dxa" w:w="1234"/>
          </w:tcPr>
          <w:p>
            <w:r>
              <w:rPr>
                <w:rFonts w:ascii="Calibri" w:hAnsi="Calibri"/>
                <w:sz w:val="22"/>
              </w:rPr>
              <w:t>10.65%</w:t>
            </w:r>
          </w:p>
        </w:tc>
        <w:tc>
          <w:tcPr>
            <w:tcW w:type="dxa" w:w="1234"/>
          </w:tcPr>
          <w:p>
            <w:r>
              <w:rPr>
                <w:rFonts w:ascii="Calibri" w:hAnsi="Calibri"/>
                <w:sz w:val="22"/>
              </w:rPr>
              <w:t>-32 bps YoY</w:t>
            </w:r>
          </w:p>
        </w:tc>
        <w:tc>
          <w:tcPr>
            <w:tcW w:type="dxa" w:w="1234"/>
          </w:tcPr>
          <w:p>
            <w:r>
              <w:rPr>
                <w:rFonts w:ascii="Calibri" w:hAnsi="Calibri"/>
                <w:sz w:val="22"/>
              </w:rPr>
              <w:t>Targeting 10% CET1 by end of 2027; $5B buyback in 2026</w:t>
            </w:r>
          </w:p>
        </w:tc>
        <w:tc>
          <w:tcPr>
            <w:tcW w:type="dxa" w:w="1234"/>
          </w:tcPr>
          <w:p>
            <w:r>
              <w:rPr>
                <w:rFonts w:ascii="Calibri" w:hAnsi="Calibri"/>
                <w:sz w:val="22"/>
              </w:rPr>
              <w:t>Declining as expected given accelerated buybacks</w:t>
            </w:r>
          </w:p>
        </w:tc>
      </w:tr>
    </w:tbl>
    <w:p>
      <w:r>
        <w:rPr>
          <w:rFonts w:ascii="Calibri" w:hAnsi="Calibri"/>
          <w:i/>
          <w:color w:val="525866"/>
          <w:sz w:val="22"/>
        </w:rPr>
        <w:t>Sources: Visible Alpha Consensus and Actuals Data (all consensus estimates and historical actuals). Guidance references from TFC Q1 2026 Earnings Call transcript (April 17, 2026).</w:t>
      </w:r>
    </w:p>
    <w:p>
      <w:pPr>
        <w:pStyle w:val="Heading3"/>
      </w:pPr>
      <w:r>
        <w:rPr>
          <w:rFonts w:ascii="Calibri" w:hAnsi="Calibri"/>
          <w:b/>
          <w:color w:val="3B4259"/>
          <w:sz w:val="24"/>
        </w:rPr>
        <w:t>Table 2 — Beat/Miss History: Last 8 Quarters (Top 2 KPIs: Operating EPS &amp; NII)</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$1.09</w:t>
            </w:r>
          </w:p>
        </w:tc>
        <w:tc>
          <w:tcPr>
            <w:tcW w:type="dxa" w:w="1440"/>
          </w:tcPr>
          <w:p>
            <w:r>
              <w:rPr>
                <w:rFonts w:ascii="Calibri" w:hAnsi="Calibri"/>
                <w:sz w:val="22"/>
              </w:rPr>
              <w:t>$0.99</w:t>
            </w:r>
          </w:p>
        </w:tc>
        <w:tc>
          <w:tcPr>
            <w:tcW w:type="dxa" w:w="1440"/>
          </w:tcPr>
          <w:p>
            <w:r>
              <w:rPr>
                <w:rFonts w:ascii="Calibri" w:hAnsi="Calibri"/>
                <w:b/>
                <w:color w:val="30A46C"/>
                <w:sz w:val="22"/>
              </w:rPr>
              <w:t>+9.9%</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NII</w:t>
            </w:r>
          </w:p>
        </w:tc>
        <w:tc>
          <w:tcPr>
            <w:tcW w:type="dxa" w:w="1440"/>
          </w:tcPr>
          <w:p>
            <w:r>
              <w:rPr>
                <w:rFonts w:ascii="Calibri" w:hAnsi="Calibri"/>
                <w:sz w:val="22"/>
              </w:rPr>
              <w:t>$3.60B</w:t>
            </w:r>
          </w:p>
        </w:tc>
        <w:tc>
          <w:tcPr>
            <w:tcW w:type="dxa" w:w="1440"/>
          </w:tcPr>
          <w:p>
            <w:r>
              <w:rPr>
                <w:rFonts w:ascii="Calibri" w:hAnsi="Calibri"/>
                <w:sz w:val="22"/>
              </w:rPr>
              <w:t>$3.61B</w:t>
            </w:r>
          </w:p>
        </w:tc>
        <w:tc>
          <w:tcPr>
            <w:tcW w:type="dxa" w:w="1440"/>
          </w:tcPr>
          <w:p>
            <w:r>
              <w:rPr>
                <w:rFonts w:ascii="Calibri" w:hAnsi="Calibri"/>
                <w:b/>
                <w:color w:val="E5484D"/>
                <w:sz w:val="22"/>
              </w:rPr>
              <w:t>-0.3%</w:t>
            </w:r>
          </w:p>
        </w:tc>
        <w:tc>
          <w:tcPr>
            <w:tcW w:type="dxa" w:w="1440"/>
          </w:tcPr>
          <w:p>
            <w:r>
              <w:rPr>
                <w:rFonts w:ascii="Calibri" w:hAnsi="Calibri"/>
                <w:b/>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$1.12</w:t>
            </w:r>
          </w:p>
        </w:tc>
        <w:tc>
          <w:tcPr>
            <w:tcW w:type="dxa" w:w="1440"/>
          </w:tcPr>
          <w:p>
            <w:r>
              <w:rPr>
                <w:rFonts w:ascii="Calibri" w:hAnsi="Calibri"/>
                <w:sz w:val="22"/>
              </w:rPr>
              <w:t>$1.10</w:t>
            </w:r>
          </w:p>
        </w:tc>
        <w:tc>
          <w:tcPr>
            <w:tcW w:type="dxa" w:w="1440"/>
          </w:tcPr>
          <w:p>
            <w:r>
              <w:rPr>
                <w:rFonts w:ascii="Calibri" w:hAnsi="Calibri"/>
                <w:b/>
                <w:color w:val="30A46C"/>
                <w:sz w:val="22"/>
              </w:rPr>
              <w:t>+2.4%</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NII</w:t>
            </w:r>
          </w:p>
        </w:tc>
        <w:tc>
          <w:tcPr>
            <w:tcW w:type="dxa" w:w="1440"/>
          </w:tcPr>
          <w:p>
            <w:r>
              <w:rPr>
                <w:rFonts w:ascii="Calibri" w:hAnsi="Calibri"/>
                <w:sz w:val="22"/>
              </w:rPr>
              <w:t>$3.70B</w:t>
            </w:r>
          </w:p>
        </w:tc>
        <w:tc>
          <w:tcPr>
            <w:tcW w:type="dxa" w:w="1440"/>
          </w:tcPr>
          <w:p>
            <w:r>
              <w:rPr>
                <w:rFonts w:ascii="Calibri" w:hAnsi="Calibri"/>
                <w:sz w:val="22"/>
              </w:rPr>
              <w:t>$3.71B</w:t>
            </w:r>
          </w:p>
        </w:tc>
        <w:tc>
          <w:tcPr>
            <w:tcW w:type="dxa" w:w="1440"/>
          </w:tcPr>
          <w:p>
            <w:r>
              <w:rPr>
                <w:rFonts w:ascii="Calibri" w:hAnsi="Calibri"/>
                <w:b/>
                <w:color w:val="E5484D"/>
                <w:sz w:val="22"/>
              </w:rPr>
              <w:t>-0.2%</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$1.04</w:t>
            </w:r>
          </w:p>
        </w:tc>
        <w:tc>
          <w:tcPr>
            <w:tcW w:type="dxa" w:w="1440"/>
          </w:tcPr>
          <w:p>
            <w:r>
              <w:rPr>
                <w:rFonts w:ascii="Calibri" w:hAnsi="Calibri"/>
                <w:sz w:val="22"/>
              </w:rPr>
              <w:t>$1.00</w:t>
            </w:r>
          </w:p>
        </w:tc>
        <w:tc>
          <w:tcPr>
            <w:tcW w:type="dxa" w:w="1440"/>
          </w:tcPr>
          <w:p>
            <w:r>
              <w:rPr>
                <w:rFonts w:ascii="Calibri" w:hAnsi="Calibri"/>
                <w:b/>
                <w:color w:val="30A46C"/>
                <w:sz w:val="22"/>
              </w:rPr>
              <w:t>+4.3%</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NII</w:t>
            </w:r>
          </w:p>
        </w:tc>
        <w:tc>
          <w:tcPr>
            <w:tcW w:type="dxa" w:w="1440"/>
          </w:tcPr>
          <w:p>
            <w:r>
              <w:rPr>
                <w:rFonts w:ascii="Calibri" w:hAnsi="Calibri"/>
                <w:sz w:val="22"/>
              </w:rPr>
              <w:t>$3.63B</w:t>
            </w:r>
          </w:p>
        </w:tc>
        <w:tc>
          <w:tcPr>
            <w:tcW w:type="dxa" w:w="1440"/>
          </w:tcPr>
          <w:p>
            <w:r>
              <w:rPr>
                <w:rFonts w:ascii="Calibri" w:hAnsi="Calibri"/>
                <w:sz w:val="22"/>
              </w:rPr>
              <w:t>$3.66B</w:t>
            </w:r>
          </w:p>
        </w:tc>
        <w:tc>
          <w:tcPr>
            <w:tcW w:type="dxa" w:w="1440"/>
          </w:tcPr>
          <w:p>
            <w:r>
              <w:rPr>
                <w:rFonts w:ascii="Calibri" w:hAnsi="Calibri"/>
                <w:b/>
                <w:color w:val="E5484D"/>
                <w:sz w:val="22"/>
              </w:rPr>
              <w:t>-0.9%</w:t>
            </w:r>
          </w:p>
        </w:tc>
        <w:tc>
          <w:tcPr>
            <w:tcW w:type="dxa" w:w="1440"/>
          </w:tcPr>
          <w:p>
            <w:r>
              <w:rPr>
                <w:rFonts w:ascii="Calibri" w:hAnsi="Calibri"/>
                <w:b/>
                <w:sz w:val="22"/>
              </w:rPr>
              <w:t>MISS</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$0.90</w:t>
            </w:r>
          </w:p>
        </w:tc>
        <w:tc>
          <w:tcPr>
            <w:tcW w:type="dxa" w:w="1440"/>
          </w:tcPr>
          <w:p>
            <w:r>
              <w:rPr>
                <w:rFonts w:ascii="Calibri" w:hAnsi="Calibri"/>
                <w:sz w:val="22"/>
              </w:rPr>
              <w:t>$0.93</w:t>
            </w:r>
          </w:p>
        </w:tc>
        <w:tc>
          <w:tcPr>
            <w:tcW w:type="dxa" w:w="1440"/>
          </w:tcPr>
          <w:p>
            <w:r>
              <w:rPr>
                <w:rFonts w:ascii="Calibri" w:hAnsi="Calibri"/>
                <w:b/>
                <w:color w:val="E5484D"/>
                <w:sz w:val="22"/>
              </w:rPr>
              <w:t>-3.1%</w:t>
            </w:r>
          </w:p>
        </w:tc>
        <w:tc>
          <w:tcPr>
            <w:tcW w:type="dxa" w:w="1440"/>
          </w:tcPr>
          <w:p>
            <w:r>
              <w:rPr>
                <w:rFonts w:ascii="Calibri" w:hAnsi="Calibri"/>
                <w:b/>
                <w:sz w:val="22"/>
              </w:rPr>
              <w:t>MISS</w:t>
            </w:r>
          </w:p>
        </w:tc>
      </w:tr>
      <w:tr>
        <w:tc>
          <w:tcPr>
            <w:tcW w:type="dxa" w:w="1440"/>
          </w:tcPr>
          <w:p>
            <w:r>
              <w:rPr>
                <w:rFonts w:ascii="Calibri" w:hAnsi="Calibri"/>
                <w:sz w:val="22"/>
              </w:rPr>
              <w:t>Q2 2025</w:t>
            </w:r>
          </w:p>
        </w:tc>
        <w:tc>
          <w:tcPr>
            <w:tcW w:type="dxa" w:w="1440"/>
          </w:tcPr>
          <w:p>
            <w:r>
              <w:rPr>
                <w:rFonts w:ascii="Calibri" w:hAnsi="Calibri"/>
                <w:sz w:val="22"/>
              </w:rPr>
              <w:t>NII</w:t>
            </w:r>
          </w:p>
        </w:tc>
        <w:tc>
          <w:tcPr>
            <w:tcW w:type="dxa" w:w="1440"/>
          </w:tcPr>
          <w:p>
            <w:r>
              <w:rPr>
                <w:rFonts w:ascii="Calibri" w:hAnsi="Calibri"/>
                <w:sz w:val="22"/>
              </w:rPr>
              <w:t>$3.59B</w:t>
            </w:r>
          </w:p>
        </w:tc>
        <w:tc>
          <w:tcPr>
            <w:tcW w:type="dxa" w:w="1440"/>
          </w:tcPr>
          <w:p>
            <w:r>
              <w:rPr>
                <w:rFonts w:ascii="Calibri" w:hAnsi="Calibri"/>
                <w:sz w:val="22"/>
              </w:rPr>
              <w:t>$3.58B</w:t>
            </w:r>
          </w:p>
        </w:tc>
        <w:tc>
          <w:tcPr>
            <w:tcW w:type="dxa" w:w="1440"/>
          </w:tcPr>
          <w:p>
            <w:r>
              <w:rPr>
                <w:rFonts w:ascii="Calibri" w:hAnsi="Calibri"/>
                <w:b/>
                <w:color w:val="30A46C"/>
                <w:sz w:val="22"/>
              </w:rPr>
              <w:t>+0.1%</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$0.87</w:t>
            </w:r>
          </w:p>
        </w:tc>
        <w:tc>
          <w:tcPr>
            <w:tcW w:type="dxa" w:w="1440"/>
          </w:tcPr>
          <w:p>
            <w:r>
              <w:rPr>
                <w:rFonts w:ascii="Calibri" w:hAnsi="Calibri"/>
                <w:sz w:val="22"/>
              </w:rPr>
              <w:t>$0.86</w:t>
            </w:r>
          </w:p>
        </w:tc>
        <w:tc>
          <w:tcPr>
            <w:tcW w:type="dxa" w:w="1440"/>
          </w:tcPr>
          <w:p>
            <w:r>
              <w:rPr>
                <w:rFonts w:ascii="Calibri" w:hAnsi="Calibri"/>
                <w:b/>
                <w:color w:val="30A46C"/>
                <w:sz w:val="22"/>
              </w:rPr>
              <w:t>+1.3%</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NII</w:t>
            </w:r>
          </w:p>
        </w:tc>
        <w:tc>
          <w:tcPr>
            <w:tcW w:type="dxa" w:w="1440"/>
          </w:tcPr>
          <w:p>
            <w:r>
              <w:rPr>
                <w:rFonts w:ascii="Calibri" w:hAnsi="Calibri"/>
                <w:sz w:val="22"/>
              </w:rPr>
              <w:t>$3.51B</w:t>
            </w:r>
          </w:p>
        </w:tc>
        <w:tc>
          <w:tcPr>
            <w:tcW w:type="dxa" w:w="1440"/>
          </w:tcPr>
          <w:p>
            <w:r>
              <w:rPr>
                <w:rFonts w:ascii="Calibri" w:hAnsi="Calibri"/>
                <w:sz w:val="22"/>
              </w:rPr>
              <w:t>$3.52B</w:t>
            </w:r>
          </w:p>
        </w:tc>
        <w:tc>
          <w:tcPr>
            <w:tcW w:type="dxa" w:w="1440"/>
          </w:tcPr>
          <w:p>
            <w:r>
              <w:rPr>
                <w:rFonts w:ascii="Calibri" w:hAnsi="Calibri"/>
                <w:b/>
                <w:color w:val="E5484D"/>
                <w:sz w:val="22"/>
              </w:rPr>
              <w:t>-0.3%</w:t>
            </w:r>
          </w:p>
        </w:tc>
        <w:tc>
          <w:tcPr>
            <w:tcW w:type="dxa" w:w="1440"/>
          </w:tcPr>
          <w:p>
            <w:r>
              <w:rPr>
                <w:rFonts w:ascii="Calibri" w:hAnsi="Calibri"/>
                <w:b/>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$0.91</w:t>
            </w:r>
          </w:p>
        </w:tc>
        <w:tc>
          <w:tcPr>
            <w:tcW w:type="dxa" w:w="1440"/>
          </w:tcPr>
          <w:p>
            <w:r>
              <w:rPr>
                <w:rFonts w:ascii="Calibri" w:hAnsi="Calibri"/>
                <w:sz w:val="22"/>
              </w:rPr>
              <w:t>$0.87</w:t>
            </w:r>
          </w:p>
        </w:tc>
        <w:tc>
          <w:tcPr>
            <w:tcW w:type="dxa" w:w="1440"/>
          </w:tcPr>
          <w:p>
            <w:r>
              <w:rPr>
                <w:rFonts w:ascii="Calibri" w:hAnsi="Calibri"/>
                <w:b/>
                <w:color w:val="30A46C"/>
                <w:sz w:val="22"/>
              </w:rPr>
              <w:t>+4.4%</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NII</w:t>
            </w:r>
          </w:p>
        </w:tc>
        <w:tc>
          <w:tcPr>
            <w:tcW w:type="dxa" w:w="1440"/>
          </w:tcPr>
          <w:p>
            <w:r>
              <w:rPr>
                <w:rFonts w:ascii="Calibri" w:hAnsi="Calibri"/>
                <w:sz w:val="22"/>
              </w:rPr>
              <w:t>$3.59B</w:t>
            </w:r>
          </w:p>
        </w:tc>
        <w:tc>
          <w:tcPr>
            <w:tcW w:type="dxa" w:w="1440"/>
          </w:tcPr>
          <w:p>
            <w:r>
              <w:rPr>
                <w:rFonts w:ascii="Calibri" w:hAnsi="Calibri"/>
                <w:sz w:val="22"/>
              </w:rPr>
              <w:t>$3.56B</w:t>
            </w:r>
          </w:p>
        </w:tc>
        <w:tc>
          <w:tcPr>
            <w:tcW w:type="dxa" w:w="1440"/>
          </w:tcPr>
          <w:p>
            <w:r>
              <w:rPr>
                <w:rFonts w:ascii="Calibri" w:hAnsi="Calibri"/>
                <w:b/>
                <w:color w:val="30A46C"/>
                <w:sz w:val="22"/>
              </w:rPr>
              <w:t>+0.8%</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$0.99</w:t>
            </w:r>
          </w:p>
        </w:tc>
        <w:tc>
          <w:tcPr>
            <w:tcW w:type="dxa" w:w="1440"/>
          </w:tcPr>
          <w:p>
            <w:r>
              <w:rPr>
                <w:rFonts w:ascii="Calibri" w:hAnsi="Calibri"/>
                <w:sz w:val="22"/>
              </w:rPr>
              <w:t>$0.91</w:t>
            </w:r>
          </w:p>
        </w:tc>
        <w:tc>
          <w:tcPr>
            <w:tcW w:type="dxa" w:w="1440"/>
          </w:tcPr>
          <w:p>
            <w:r>
              <w:rPr>
                <w:rFonts w:ascii="Calibri" w:hAnsi="Calibri"/>
                <w:b/>
                <w:color w:val="30A46C"/>
                <w:sz w:val="22"/>
              </w:rPr>
              <w:t>+8.9%</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NII</w:t>
            </w:r>
          </w:p>
        </w:tc>
        <w:tc>
          <w:tcPr>
            <w:tcW w:type="dxa" w:w="1440"/>
          </w:tcPr>
          <w:p>
            <w:r>
              <w:rPr>
                <w:rFonts w:ascii="Calibri" w:hAnsi="Calibri"/>
                <w:sz w:val="22"/>
              </w:rPr>
              <w:t>$3.60B</w:t>
            </w:r>
          </w:p>
        </w:tc>
        <w:tc>
          <w:tcPr>
            <w:tcW w:type="dxa" w:w="1440"/>
          </w:tcPr>
          <w:p>
            <w:r>
              <w:rPr>
                <w:rFonts w:ascii="Calibri" w:hAnsi="Calibri"/>
                <w:sz w:val="22"/>
              </w:rPr>
              <w:t>$3.62B</w:t>
            </w:r>
          </w:p>
        </w:tc>
        <w:tc>
          <w:tcPr>
            <w:tcW w:type="dxa" w:w="1440"/>
          </w:tcPr>
          <w:p>
            <w:r>
              <w:rPr>
                <w:rFonts w:ascii="Calibri" w:hAnsi="Calibri"/>
                <w:b/>
                <w:color w:val="E5484D"/>
                <w:sz w:val="22"/>
              </w:rPr>
              <w:t>-0.5%</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$0.91</w:t>
            </w:r>
          </w:p>
        </w:tc>
        <w:tc>
          <w:tcPr>
            <w:tcW w:type="dxa" w:w="1440"/>
          </w:tcPr>
          <w:p>
            <w:r>
              <w:rPr>
                <w:rFonts w:ascii="Calibri" w:hAnsi="Calibri"/>
                <w:sz w:val="22"/>
              </w:rPr>
              <w:t>$0.85</w:t>
            </w:r>
          </w:p>
        </w:tc>
        <w:tc>
          <w:tcPr>
            <w:tcW w:type="dxa" w:w="1440"/>
          </w:tcPr>
          <w:p>
            <w:r>
              <w:rPr>
                <w:rFonts w:ascii="Calibri" w:hAnsi="Calibri"/>
                <w:b/>
                <w:color w:val="30A46C"/>
                <w:sz w:val="22"/>
              </w:rPr>
              <w:t>+6.8%</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NII</w:t>
            </w:r>
          </w:p>
        </w:tc>
        <w:tc>
          <w:tcPr>
            <w:tcW w:type="dxa" w:w="1440"/>
          </w:tcPr>
          <w:p>
            <w:r>
              <w:rPr>
                <w:rFonts w:ascii="Calibri" w:hAnsi="Calibri"/>
                <w:sz w:val="22"/>
              </w:rPr>
              <w:t>$3.53B</w:t>
            </w:r>
          </w:p>
        </w:tc>
        <w:tc>
          <w:tcPr>
            <w:tcW w:type="dxa" w:w="1440"/>
          </w:tcPr>
          <w:p>
            <w:r>
              <w:rPr>
                <w:rFonts w:ascii="Calibri" w:hAnsi="Calibri"/>
                <w:sz w:val="22"/>
              </w:rPr>
              <w:t>$3.44B</w:t>
            </w:r>
          </w:p>
        </w:tc>
        <w:tc>
          <w:tcPr>
            <w:tcW w:type="dxa" w:w="1440"/>
          </w:tcPr>
          <w:p>
            <w:r>
              <w:rPr>
                <w:rFonts w:ascii="Calibri" w:hAnsi="Calibri"/>
                <w:b/>
                <w:color w:val="30A46C"/>
                <w:sz w:val="22"/>
              </w:rPr>
              <w:t>+2.4%</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color w:val="525866"/>
          <w:sz w:val="22"/>
        </w:rPr>
        <w:t>TFC has beaten operating EPS consensus in 7 of the last 8 quarters, with an average beat of ~+4.7%; NII has been a consistent slight miss (5 of 8 quarters), reflecting the structural challenge of NIM compression — the EPS beat pattern is driven by fee income outperformance and buyback accretion rather than NII upside.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shifted modestly more cautious on NII (removing Fed cut assumptions) but more confident on fees and EPS; the </w:t>
      </w:r>
      <w:r>
        <w:rPr>
          <w:rFonts w:ascii="Calibri" w:hAnsi="Calibri"/>
          <w:b/>
          <w:color w:val="525866"/>
          <w:sz w:val="22"/>
        </w:rPr>
        <w:t>overall 2026 earnings trajectory is unchanged</w:t>
      </w:r>
      <w:r>
        <w:rPr>
          <w:rFonts w:ascii="Calibri" w:hAnsi="Calibri"/>
          <w:color w:val="525866"/>
          <w:sz w:val="22"/>
        </w:rPr>
        <w:t>, with the mix shifting from NII to fee income and buyback accretion.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Prior Guidance (Jan 2026)</w:t>
            </w:r>
          </w:p>
        </w:tc>
        <w:tc>
          <w:tcPr>
            <w:tcW w:type="dxa" w:w="2160"/>
            <w:shd w:val="clear" w:color="auto" w:fill="3B4259"/>
          </w:tcPr>
          <w:p>
            <w:r>
              <w:rPr>
                <w:rFonts w:ascii="Calibri" w:hAnsi="Calibri"/>
                <w:b/>
                <w:color w:val="FFFFFF"/>
                <w:sz w:val="22"/>
              </w:rPr>
              <w:t>Revised Guidance (Q1 2026 Call, Apr 17)</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FY26 NII Growth</w:t>
            </w:r>
          </w:p>
        </w:tc>
        <w:tc>
          <w:tcPr>
            <w:tcW w:type="dxa" w:w="2160"/>
          </w:tcPr>
          <w:p>
            <w:r>
              <w:rPr>
                <w:rFonts w:ascii="Calibri" w:hAnsi="Calibri"/>
                <w:sz w:val="22"/>
              </w:rPr>
              <w:t>+3% to +4% YoY</w:t>
            </w:r>
          </w:p>
        </w:tc>
        <w:tc>
          <w:tcPr>
            <w:tcW w:type="dxa" w:w="2160"/>
          </w:tcPr>
          <w:p>
            <w:r>
              <w:rPr>
                <w:rFonts w:ascii="Calibri" w:hAnsi="Calibri"/>
                <w:sz w:val="22"/>
              </w:rPr>
              <w:t>+2% to +3% YoY (assumes no Fed cuts in 2026 vs. prior 2 cuts assumed)</w:t>
            </w:r>
          </w:p>
        </w:tc>
        <w:tc>
          <w:tcPr>
            <w:tcW w:type="dxa" w:w="2160"/>
          </w:tcPr>
          <w:p>
            <w:r>
              <w:rPr>
                <w:rFonts w:ascii="Calibri" w:hAnsi="Calibri"/>
                <w:b/>
                <w:color w:val="E5484D"/>
                <w:sz w:val="22"/>
              </w:rPr>
              <w:t>↓ Lowered</w:t>
            </w:r>
          </w:p>
        </w:tc>
      </w:tr>
      <w:tr>
        <w:tc>
          <w:tcPr>
            <w:tcW w:type="dxa" w:w="2160"/>
          </w:tcPr>
          <w:p>
            <w:r>
              <w:rPr>
                <w:rFonts w:ascii="Calibri" w:hAnsi="Calibri"/>
                <w:sz w:val="22"/>
              </w:rPr>
              <w:t>FY26 Noninterest Income Growth</w:t>
            </w:r>
          </w:p>
        </w:tc>
        <w:tc>
          <w:tcPr>
            <w:tcW w:type="dxa" w:w="2160"/>
          </w:tcPr>
          <w:p>
            <w:r>
              <w:rPr>
                <w:rFonts w:ascii="Calibri" w:hAnsi="Calibri"/>
                <w:sz w:val="22"/>
              </w:rPr>
              <w:t>Mid- to high single-digit growth</w:t>
            </w:r>
          </w:p>
        </w:tc>
        <w:tc>
          <w:tcPr>
            <w:tcW w:type="dxa" w:w="2160"/>
          </w:tcPr>
          <w:p>
            <w:r>
              <w:rPr>
                <w:rFonts w:ascii="Calibri" w:hAnsi="Calibri"/>
                <w:sz w:val="22"/>
              </w:rPr>
              <w:t>High single-digit growth (raised); IB &amp; trading potentially high teens to 20%</w:t>
            </w:r>
          </w:p>
        </w:tc>
        <w:tc>
          <w:tcPr>
            <w:tcW w:type="dxa" w:w="2160"/>
          </w:tcPr>
          <w:p>
            <w:r>
              <w:rPr>
                <w:rFonts w:ascii="Calibri" w:hAnsi="Calibri"/>
                <w:b/>
                <w:color w:val="30A46C"/>
                <w:sz w:val="22"/>
              </w:rPr>
              <w:t>↑ Raised</w:t>
            </w:r>
          </w:p>
        </w:tc>
      </w:tr>
      <w:tr>
        <w:tc>
          <w:tcPr>
            <w:tcW w:type="dxa" w:w="2160"/>
          </w:tcPr>
          <w:p>
            <w:r>
              <w:rPr>
                <w:rFonts w:ascii="Calibri" w:hAnsi="Calibri"/>
                <w:sz w:val="22"/>
              </w:rPr>
              <w:t>FY26 Revenue Growth</w:t>
            </w:r>
          </w:p>
        </w:tc>
        <w:tc>
          <w:tcPr>
            <w:tcW w:type="dxa" w:w="2160"/>
          </w:tcPr>
          <w:p>
            <w:r>
              <w:rPr>
                <w:rFonts w:ascii="Calibri" w:hAnsi="Calibri"/>
                <w:sz w:val="22"/>
              </w:rPr>
              <w:t>+4% to +5% YoY</w:t>
            </w:r>
          </w:p>
        </w:tc>
        <w:tc>
          <w:tcPr>
            <w:tcW w:type="dxa" w:w="2160"/>
          </w:tcPr>
          <w:p>
            <w:r>
              <w:rPr>
                <w:rFonts w:ascii="Calibri" w:hAnsi="Calibri"/>
                <w:sz w:val="22"/>
              </w:rPr>
              <w:t>Low end of +4% to +5% range (refined lower)</w:t>
            </w:r>
          </w:p>
        </w:tc>
        <w:tc>
          <w:tcPr>
            <w:tcW w:type="dxa" w:w="2160"/>
          </w:tcPr>
          <w:p>
            <w:r>
              <w:rPr>
                <w:rFonts w:ascii="Calibri" w:hAnsi="Calibri"/>
                <w:b/>
                <w:color w:val="E5484D"/>
                <w:sz w:val="22"/>
              </w:rPr>
              <w:t>↓ Refined lower</w:t>
            </w:r>
          </w:p>
        </w:tc>
      </w:tr>
      <w:tr>
        <w:tc>
          <w:tcPr>
            <w:tcW w:type="dxa" w:w="2160"/>
          </w:tcPr>
          <w:p>
            <w:r>
              <w:rPr>
                <w:rFonts w:ascii="Calibri" w:hAnsi="Calibri"/>
                <w:sz w:val="22"/>
              </w:rPr>
              <w:t>FY26 GAAP Noninterest Expense Growth</w:t>
            </w:r>
          </w:p>
        </w:tc>
        <w:tc>
          <w:tcPr>
            <w:tcW w:type="dxa" w:w="2160"/>
          </w:tcPr>
          <w:p>
            <w:r>
              <w:rPr>
                <w:rFonts w:ascii="Calibri" w:hAnsi="Calibri"/>
                <w:sz w:val="22"/>
              </w:rPr>
              <w:t>+1.25% to +2.25% YoY</w:t>
            </w:r>
          </w:p>
        </w:tc>
        <w:tc>
          <w:tcPr>
            <w:tcW w:type="dxa" w:w="2160"/>
          </w:tcPr>
          <w:p>
            <w:r>
              <w:rPr>
                <w:rFonts w:ascii="Calibri" w:hAnsi="Calibri"/>
                <w:sz w:val="22"/>
              </w:rPr>
              <w:t>~+1.75% YoY (midpoint narrowed)</w:t>
            </w:r>
          </w:p>
        </w:tc>
        <w:tc>
          <w:tcPr>
            <w:tcW w:type="dxa" w:w="2160"/>
          </w:tcPr>
          <w:p>
            <w:r>
              <w:rPr>
                <w:rFonts w:ascii="Calibri" w:hAnsi="Calibri"/>
                <w:sz w:val="22"/>
              </w:rPr>
              <w:t>→ Unchanged / Narrowed</w:t>
            </w:r>
          </w:p>
        </w:tc>
      </w:tr>
      <w:tr>
        <w:tc>
          <w:tcPr>
            <w:tcW w:type="dxa" w:w="2160"/>
          </w:tcPr>
          <w:p>
            <w:r>
              <w:rPr>
                <w:rFonts w:ascii="Calibri" w:hAnsi="Calibri"/>
                <w:sz w:val="22"/>
              </w:rPr>
              <w:t>FY26 Operating Leverage</w:t>
            </w:r>
          </w:p>
        </w:tc>
        <w:tc>
          <w:tcPr>
            <w:tcW w:type="dxa" w:w="2160"/>
          </w:tcPr>
          <w:p>
            <w:r>
              <w:rPr>
                <w:rFonts w:ascii="Calibri" w:hAnsi="Calibri"/>
                <w:sz w:val="22"/>
              </w:rPr>
              <w:t>~200+ bps positive</w:t>
            </w:r>
          </w:p>
        </w:tc>
        <w:tc>
          <w:tcPr>
            <w:tcW w:type="dxa" w:w="2160"/>
          </w:tcPr>
          <w:p>
            <w:r>
              <w:rPr>
                <w:rFonts w:ascii="Calibri" w:hAnsi="Calibri"/>
                <w:sz w:val="22"/>
              </w:rPr>
              <w:t>~200+ bps positive (reaffirmed)</w:t>
            </w:r>
          </w:p>
        </w:tc>
        <w:tc>
          <w:tcPr>
            <w:tcW w:type="dxa" w:w="2160"/>
          </w:tcPr>
          <w:p>
            <w:r>
              <w:rPr>
                <w:rFonts w:ascii="Calibri" w:hAnsi="Calibri"/>
                <w:sz w:val="22"/>
              </w:rPr>
              <w:t>→ Unchanged</w:t>
            </w:r>
          </w:p>
        </w:tc>
      </w:tr>
      <w:tr>
        <w:tc>
          <w:tcPr>
            <w:tcW w:type="dxa" w:w="2160"/>
          </w:tcPr>
          <w:p>
            <w:r>
              <w:rPr>
                <w:rFonts w:ascii="Calibri" w:hAnsi="Calibri"/>
                <w:sz w:val="22"/>
              </w:rPr>
              <w:t>FY26 Average Loan Growth</w:t>
            </w:r>
          </w:p>
        </w:tc>
        <w:tc>
          <w:tcPr>
            <w:tcW w:type="dxa" w:w="2160"/>
          </w:tcPr>
          <w:p>
            <w:r>
              <w:rPr>
                <w:rFonts w:ascii="Calibri" w:hAnsi="Calibri"/>
                <w:sz w:val="22"/>
              </w:rPr>
              <w:t>+3% to +4% YoY</w:t>
            </w:r>
          </w:p>
        </w:tc>
        <w:tc>
          <w:tcPr>
            <w:tcW w:type="dxa" w:w="2160"/>
          </w:tcPr>
          <w:p>
            <w:r>
              <w:rPr>
                <w:rFonts w:ascii="Calibri" w:hAnsi="Calibri"/>
                <w:sz w:val="22"/>
              </w:rPr>
              <w:t>+3% to +4% YoY (reaffirmed); commercial-led, specialty consumer mid-to-high single digits</w:t>
            </w:r>
          </w:p>
        </w:tc>
        <w:tc>
          <w:tcPr>
            <w:tcW w:type="dxa" w:w="2160"/>
          </w:tcPr>
          <w:p>
            <w:r>
              <w:rPr>
                <w:rFonts w:ascii="Calibri" w:hAnsi="Calibri"/>
                <w:sz w:val="22"/>
              </w:rPr>
              <w:t>→ Unchanged</w:t>
            </w:r>
          </w:p>
        </w:tc>
      </w:tr>
      <w:tr>
        <w:tc>
          <w:tcPr>
            <w:tcW w:type="dxa" w:w="2160"/>
          </w:tcPr>
          <w:p>
            <w:r>
              <w:rPr>
                <w:rFonts w:ascii="Calibri" w:hAnsi="Calibri"/>
                <w:sz w:val="22"/>
              </w:rPr>
              <w:t>FY26 Average Deposit Growth</w:t>
            </w:r>
          </w:p>
        </w:tc>
        <w:tc>
          <w:tcPr>
            <w:tcW w:type="dxa" w:w="2160"/>
          </w:tcPr>
          <w:p>
            <w:r>
              <w:rPr>
                <w:rFonts w:ascii="Calibri" w:hAnsi="Calibri"/>
                <w:sz w:val="22"/>
              </w:rPr>
              <w:t>Low single digits</w:t>
            </w:r>
          </w:p>
        </w:tc>
        <w:tc>
          <w:tcPr>
            <w:tcW w:type="dxa" w:w="2160"/>
          </w:tcPr>
          <w:p>
            <w:r>
              <w:rPr>
                <w:rFonts w:ascii="Calibri" w:hAnsi="Calibri"/>
                <w:sz w:val="22"/>
              </w:rPr>
              <w:t>Low single digits (reaffirmed)</w:t>
            </w:r>
          </w:p>
        </w:tc>
        <w:tc>
          <w:tcPr>
            <w:tcW w:type="dxa" w:w="2160"/>
          </w:tcPr>
          <w:p>
            <w:r>
              <w:rPr>
                <w:rFonts w:ascii="Calibri" w:hAnsi="Calibri"/>
                <w:sz w:val="22"/>
              </w:rPr>
              <w:t>→ Unchanged</w:t>
            </w:r>
          </w:p>
        </w:tc>
      </w:tr>
      <w:tr>
        <w:tc>
          <w:tcPr>
            <w:tcW w:type="dxa" w:w="2160"/>
          </w:tcPr>
          <w:p>
            <w:r>
              <w:rPr>
                <w:rFonts w:ascii="Calibri" w:hAnsi="Calibri"/>
                <w:sz w:val="22"/>
              </w:rPr>
              <w:t>FY26 ROTCE Target</w:t>
            </w:r>
          </w:p>
        </w:tc>
        <w:tc>
          <w:tcPr>
            <w:tcW w:type="dxa" w:w="2160"/>
          </w:tcPr>
          <w:p>
            <w:r>
              <w:rPr>
                <w:rFonts w:ascii="Calibri" w:hAnsi="Calibri"/>
                <w:sz w:val="22"/>
              </w:rPr>
              <w:t>14%</w:t>
            </w:r>
          </w:p>
        </w:tc>
        <w:tc>
          <w:tcPr>
            <w:tcW w:type="dxa" w:w="2160"/>
          </w:tcPr>
          <w:p>
            <w:r>
              <w:rPr>
                <w:rFonts w:ascii="Calibri" w:hAnsi="Calibri"/>
                <w:sz w:val="22"/>
              </w:rPr>
              <w:t>14% (reaffirmed); new long-term target of 16–18% over 3–5 years introduced</w:t>
            </w:r>
          </w:p>
        </w:tc>
        <w:tc>
          <w:tcPr>
            <w:tcW w:type="dxa" w:w="2160"/>
          </w:tcPr>
          <w:p>
            <w:r>
              <w:rPr>
                <w:rFonts w:ascii="Calibri" w:hAnsi="Calibri"/>
                <w:b/>
                <w:color w:val="30A46C"/>
                <w:sz w:val="22"/>
              </w:rPr>
              <w:t>↑ Raised long-term</w:t>
            </w:r>
          </w:p>
        </w:tc>
      </w:tr>
      <w:tr>
        <w:tc>
          <w:tcPr>
            <w:tcW w:type="dxa" w:w="2160"/>
          </w:tcPr>
          <w:p>
            <w:r>
              <w:rPr>
                <w:rFonts w:ascii="Calibri" w:hAnsi="Calibri"/>
                <w:sz w:val="22"/>
              </w:rPr>
              <w:t>FY26 Share Repurchases</w:t>
            </w:r>
          </w:p>
        </w:tc>
        <w:tc>
          <w:tcPr>
            <w:tcW w:type="dxa" w:w="2160"/>
          </w:tcPr>
          <w:p>
            <w:r>
              <w:rPr>
                <w:rFonts w:ascii="Calibri" w:hAnsi="Calibri"/>
                <w:sz w:val="22"/>
              </w:rPr>
              <w:t>$4B target</w:t>
            </w:r>
          </w:p>
        </w:tc>
        <w:tc>
          <w:tcPr>
            <w:tcW w:type="dxa" w:w="2160"/>
          </w:tcPr>
          <w:p>
            <w:r>
              <w:rPr>
                <w:rFonts w:ascii="Calibri" w:hAnsi="Calibri"/>
                <w:sz w:val="22"/>
              </w:rPr>
              <w:t>$5B target (raised from $4B)</w:t>
            </w:r>
          </w:p>
        </w:tc>
        <w:tc>
          <w:tcPr>
            <w:tcW w:type="dxa" w:w="2160"/>
          </w:tcPr>
          <w:p>
            <w:r>
              <w:rPr>
                <w:rFonts w:ascii="Calibri" w:hAnsi="Calibri"/>
                <w:b/>
                <w:color w:val="30A46C"/>
                <w:sz w:val="22"/>
              </w:rPr>
              <w:t>↑ Raised</w:t>
            </w:r>
          </w:p>
        </w:tc>
      </w:tr>
      <w:tr>
        <w:tc>
          <w:tcPr>
            <w:tcW w:type="dxa" w:w="2160"/>
          </w:tcPr>
          <w:p>
            <w:r>
              <w:rPr>
                <w:rFonts w:ascii="Calibri" w:hAnsi="Calibri"/>
                <w:sz w:val="22"/>
              </w:rPr>
              <w:t>Q2 2026 NIM</w:t>
            </w:r>
          </w:p>
        </w:tc>
        <w:tc>
          <w:tcPr>
            <w:tcW w:type="dxa" w:w="2160"/>
          </w:tcPr>
          <w:p>
            <w:r>
              <w:rPr>
                <w:rFonts w:ascii="Calibri" w:hAnsi="Calibri"/>
                <w:sz w:val="22"/>
              </w:rPr>
              <w:t>N/A (not separately guided in Jan)</w:t>
            </w:r>
          </w:p>
        </w:tc>
        <w:tc>
          <w:tcPr>
            <w:tcW w:type="dxa" w:w="2160"/>
          </w:tcPr>
          <w:p>
            <w:r>
              <w:rPr>
                <w:rFonts w:ascii="Calibri" w:hAnsi="Calibri"/>
                <w:sz w:val="22"/>
              </w:rPr>
              <w:t>“Relatively stable” sequentially; expansion expected in 2H 2026; “3 teens” NIM target pushed to 2027</w:t>
            </w:r>
          </w:p>
        </w:tc>
        <w:tc>
          <w:tcPr>
            <w:tcW w:type="dxa" w:w="2160"/>
          </w:tcPr>
          <w:p>
            <w:r>
              <w:rPr>
                <w:rFonts w:ascii="Calibri" w:hAnsi="Calibri"/>
                <w:b/>
                <w:color w:val="E5484D"/>
                <w:sz w:val="22"/>
              </w:rPr>
              <w:t>↓ Deferred</w:t>
            </w:r>
          </w:p>
        </w:tc>
      </w:tr>
    </w:tbl>
    <w:p>
      <w:r>
        <w:rPr>
          <w:rFonts w:ascii="Calibri" w:hAnsi="Calibri"/>
          <w:i/>
          <w:color w:val="525866"/>
          <w:sz w:val="22"/>
        </w:rPr>
        <w:t>Source: TFC Q1 2026 Earnings Call transcript (April 17, 2026); TFC Q4 2025 / January 2026 guidance.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Post-Q1 earnings, sell-side estimates have moved modestly higher for Q2 2026 EPS and NII, suggesting the Street is incrementally more constructive; </w:t>
      </w:r>
      <w:r>
        <w:rPr>
          <w:rFonts w:ascii="Calibri" w:hAnsi="Calibri"/>
          <w:b/>
          <w:color w:val="525866"/>
          <w:sz w:val="22"/>
        </w:rPr>
        <w:t>the revision delta is small but directionally positive</w:t>
      </w:r>
      <w:r>
        <w:rPr>
          <w:rFonts w:ascii="Calibri" w:hAnsi="Calibri"/>
          <w:color w:val="525866"/>
          <w:sz w:val="22"/>
        </w:rPr>
        <w:t>, consistent with a setup where the bar is achievable.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 (as of Apr 22, 2026)</w:t>
            </w:r>
          </w:p>
        </w:tc>
        <w:tc>
          <w:tcPr>
            <w:tcW w:type="dxa" w:w="1728"/>
            <w:shd w:val="clear" w:color="auto" w:fill="3B4259"/>
          </w:tcPr>
          <w:p>
            <w:r>
              <w:rPr>
                <w:rFonts w:ascii="Calibri" w:hAnsi="Calibri"/>
                <w:b/>
                <w:color w:val="FFFFFF"/>
                <w:sz w:val="22"/>
              </w:rPr>
              <w:t>Current Consensus (as of Jul 16, 2026)</w:t>
            </w:r>
          </w:p>
        </w:tc>
        <w:tc>
          <w:tcPr>
            <w:tcW w:type="dxa" w:w="1728"/>
            <w:shd w:val="clear" w:color="auto" w:fill="3B4259"/>
          </w:tcPr>
          <w:p>
            <w:r>
              <w:rPr>
                <w:rFonts w:ascii="Calibri" w:hAnsi="Calibri"/>
                <w:b/>
                <w:color w:val="FFFFFF"/>
                <w:sz w:val="22"/>
              </w:rPr>
              <w:t>Revision Δ</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Q2 2026 Operating EPS</w:t>
            </w:r>
          </w:p>
        </w:tc>
        <w:tc>
          <w:tcPr>
            <w:tcW w:type="dxa" w:w="1728"/>
          </w:tcPr>
          <w:p>
            <w:r>
              <w:rPr>
                <w:rFonts w:ascii="Calibri" w:hAnsi="Calibri"/>
                <w:sz w:val="22"/>
              </w:rPr>
              <w:t>$1.07</w:t>
            </w:r>
          </w:p>
        </w:tc>
        <w:tc>
          <w:tcPr>
            <w:tcW w:type="dxa" w:w="1728"/>
          </w:tcPr>
          <w:p>
            <w:r>
              <w:rPr>
                <w:rFonts w:ascii="Calibri" w:hAnsi="Calibri"/>
                <w:sz w:val="22"/>
              </w:rPr>
              <w:t>$1.08</w:t>
            </w:r>
          </w:p>
        </w:tc>
        <w:tc>
          <w:tcPr>
            <w:tcW w:type="dxa" w:w="1728"/>
          </w:tcPr>
          <w:p>
            <w:r>
              <w:rPr>
                <w:rFonts w:ascii="Calibri" w:hAnsi="Calibri"/>
                <w:sz w:val="22"/>
              </w:rPr>
              <w:t>+$0.01 (+0.9%)</w:t>
            </w:r>
          </w:p>
        </w:tc>
        <w:tc>
          <w:tcPr>
            <w:tcW w:type="dxa" w:w="1728"/>
          </w:tcPr>
          <w:p>
            <w:r>
              <w:rPr>
                <w:rFonts w:ascii="Calibri" w:hAnsi="Calibri"/>
                <w:b/>
                <w:color w:val="30A46C"/>
                <w:sz w:val="22"/>
              </w:rPr>
              <w:t>↑ Modest upward revision</w:t>
            </w:r>
          </w:p>
        </w:tc>
      </w:tr>
      <w:tr>
        <w:tc>
          <w:tcPr>
            <w:tcW w:type="dxa" w:w="1728"/>
          </w:tcPr>
          <w:p>
            <w:r>
              <w:rPr>
                <w:rFonts w:ascii="Calibri" w:hAnsi="Calibri"/>
                <w:sz w:val="22"/>
              </w:rPr>
              <w:t>Q2 2026 NII</w:t>
            </w:r>
          </w:p>
        </w:tc>
        <w:tc>
          <w:tcPr>
            <w:tcW w:type="dxa" w:w="1728"/>
          </w:tcPr>
          <w:p>
            <w:r>
              <w:rPr>
                <w:rFonts w:ascii="Calibri" w:hAnsi="Calibri"/>
                <w:sz w:val="22"/>
              </w:rPr>
              <w:t>$3.642B</w:t>
            </w:r>
          </w:p>
        </w:tc>
        <w:tc>
          <w:tcPr>
            <w:tcW w:type="dxa" w:w="1728"/>
          </w:tcPr>
          <w:p>
            <w:r>
              <w:rPr>
                <w:rFonts w:ascii="Calibri" w:hAnsi="Calibri"/>
                <w:sz w:val="22"/>
              </w:rPr>
              <w:t>$3.640B</w:t>
            </w:r>
          </w:p>
        </w:tc>
        <w:tc>
          <w:tcPr>
            <w:tcW w:type="dxa" w:w="1728"/>
          </w:tcPr>
          <w:p>
            <w:r>
              <w:rPr>
                <w:rFonts w:ascii="Calibri" w:hAnsi="Calibri"/>
                <w:sz w:val="22"/>
              </w:rPr>
              <w:t>-$2M (-0.1%)</w:t>
            </w:r>
          </w:p>
        </w:tc>
        <w:tc>
          <w:tcPr>
            <w:tcW w:type="dxa" w:w="1728"/>
          </w:tcPr>
          <w:p>
            <w:r>
              <w:rPr>
                <w:rFonts w:ascii="Calibri" w:hAnsi="Calibri"/>
                <w:sz w:val="22"/>
              </w:rPr>
              <w:t>→ Essentially flat</w:t>
            </w:r>
          </w:p>
        </w:tc>
      </w:tr>
      <w:tr>
        <w:tc>
          <w:tcPr>
            <w:tcW w:type="dxa" w:w="1728"/>
          </w:tcPr>
          <w:p>
            <w:r>
              <w:rPr>
                <w:rFonts w:ascii="Calibri" w:hAnsi="Calibri"/>
                <w:sz w:val="22"/>
              </w:rPr>
              <w:t>Q2 2026 Noninterest Income (Operating)</w:t>
            </w:r>
          </w:p>
        </w:tc>
        <w:tc>
          <w:tcPr>
            <w:tcW w:type="dxa" w:w="1728"/>
          </w:tcPr>
          <w:p>
            <w:r>
              <w:rPr>
                <w:rFonts w:ascii="Calibri" w:hAnsi="Calibri"/>
                <w:sz w:val="22"/>
              </w:rPr>
              <w:t>$1.541B</w:t>
            </w:r>
          </w:p>
        </w:tc>
        <w:tc>
          <w:tcPr>
            <w:tcW w:type="dxa" w:w="1728"/>
          </w:tcPr>
          <w:p>
            <w:r>
              <w:rPr>
                <w:rFonts w:ascii="Calibri" w:hAnsi="Calibri"/>
                <w:sz w:val="22"/>
              </w:rPr>
              <w:t>$1.543B</w:t>
            </w:r>
          </w:p>
        </w:tc>
        <w:tc>
          <w:tcPr>
            <w:tcW w:type="dxa" w:w="1728"/>
          </w:tcPr>
          <w:p>
            <w:r>
              <w:rPr>
                <w:rFonts w:ascii="Calibri" w:hAnsi="Calibri"/>
                <w:sz w:val="22"/>
              </w:rPr>
              <w:t>+$2M (+0.1%)</w:t>
            </w:r>
          </w:p>
        </w:tc>
        <w:tc>
          <w:tcPr>
            <w:tcW w:type="dxa" w:w="1728"/>
          </w:tcPr>
          <w:p>
            <w:r>
              <w:rPr>
                <w:rFonts w:ascii="Calibri" w:hAnsi="Calibri"/>
                <w:sz w:val="22"/>
              </w:rPr>
              <w:t>→ Essentially flat</w:t>
            </w:r>
          </w:p>
        </w:tc>
      </w:tr>
      <w:tr>
        <w:tc>
          <w:tcPr>
            <w:tcW w:type="dxa" w:w="1728"/>
          </w:tcPr>
          <w:p>
            <w:r>
              <w:rPr>
                <w:rFonts w:ascii="Calibri" w:hAnsi="Calibri"/>
                <w:sz w:val="22"/>
              </w:rPr>
              <w:t>Q2 2026 Noninterest Expense (Operating)</w:t>
            </w:r>
          </w:p>
        </w:tc>
        <w:tc>
          <w:tcPr>
            <w:tcW w:type="dxa" w:w="1728"/>
          </w:tcPr>
          <w:p>
            <w:r>
              <w:rPr>
                <w:rFonts w:ascii="Calibri" w:hAnsi="Calibri"/>
                <w:sz w:val="22"/>
              </w:rPr>
              <w:t>$3.079B</w:t>
            </w:r>
          </w:p>
        </w:tc>
        <w:tc>
          <w:tcPr>
            <w:tcW w:type="dxa" w:w="1728"/>
          </w:tcPr>
          <w:p>
            <w:r>
              <w:rPr>
                <w:rFonts w:ascii="Calibri" w:hAnsi="Calibri"/>
                <w:sz w:val="22"/>
              </w:rPr>
              <w:t>$3.077B</w:t>
            </w:r>
          </w:p>
        </w:tc>
        <w:tc>
          <w:tcPr>
            <w:tcW w:type="dxa" w:w="1728"/>
          </w:tcPr>
          <w:p>
            <w:r>
              <w:rPr>
                <w:rFonts w:ascii="Calibri" w:hAnsi="Calibri"/>
                <w:sz w:val="22"/>
              </w:rPr>
              <w:t>-$2M (-0.1%)</w:t>
            </w:r>
          </w:p>
        </w:tc>
        <w:tc>
          <w:tcPr>
            <w:tcW w:type="dxa" w:w="1728"/>
          </w:tcPr>
          <w:p>
            <w:r>
              <w:rPr>
                <w:rFonts w:ascii="Calibri" w:hAnsi="Calibri"/>
                <w:sz w:val="22"/>
              </w:rPr>
              <w:t>→ Essentially flat</w:t>
            </w:r>
          </w:p>
        </w:tc>
      </w:tr>
      <w:tr>
        <w:tc>
          <w:tcPr>
            <w:tcW w:type="dxa" w:w="1728"/>
          </w:tcPr>
          <w:p>
            <w:r>
              <w:rPr>
                <w:rFonts w:ascii="Calibri" w:hAnsi="Calibri"/>
                <w:sz w:val="22"/>
              </w:rPr>
              <w:t>FY26 Operating EPS</w:t>
            </w:r>
          </w:p>
        </w:tc>
        <w:tc>
          <w:tcPr>
            <w:tcW w:type="dxa" w:w="1728"/>
          </w:tcPr>
          <w:p>
            <w:r>
              <w:rPr>
                <w:rFonts w:ascii="Calibri" w:hAnsi="Calibri"/>
                <w:sz w:val="22"/>
              </w:rPr>
              <w:t>$4.54</w:t>
            </w:r>
          </w:p>
        </w:tc>
        <w:tc>
          <w:tcPr>
            <w:tcW w:type="dxa" w:w="1728"/>
          </w:tcPr>
          <w:p>
            <w:r>
              <w:rPr>
                <w:rFonts w:ascii="Calibri" w:hAnsi="Calibri"/>
                <w:sz w:val="22"/>
              </w:rPr>
              <w:t>$4.52</w:t>
            </w:r>
          </w:p>
        </w:tc>
        <w:tc>
          <w:tcPr>
            <w:tcW w:type="dxa" w:w="1728"/>
          </w:tcPr>
          <w:p>
            <w:r>
              <w:rPr>
                <w:rFonts w:ascii="Calibri" w:hAnsi="Calibri"/>
                <w:sz w:val="22"/>
              </w:rPr>
              <w:t>-$0.02 (-0.4%)</w:t>
            </w:r>
          </w:p>
        </w:tc>
        <w:tc>
          <w:tcPr>
            <w:tcW w:type="dxa" w:w="1728"/>
          </w:tcPr>
          <w:p>
            <w:r>
              <w:rPr>
                <w:rFonts w:ascii="Calibri" w:hAnsi="Calibri"/>
                <w:b/>
                <w:color w:val="E5484D"/>
                <w:sz w:val="22"/>
              </w:rPr>
              <w:t>↓ Slight downward revision</w:t>
            </w:r>
          </w:p>
        </w:tc>
      </w:tr>
      <w:tr>
        <w:tc>
          <w:tcPr>
            <w:tcW w:type="dxa" w:w="1728"/>
          </w:tcPr>
          <w:p>
            <w:r>
              <w:rPr>
                <w:rFonts w:ascii="Calibri" w:hAnsi="Calibri"/>
                <w:sz w:val="22"/>
              </w:rPr>
              <w:t>FY26 NII</w:t>
            </w:r>
          </w:p>
        </w:tc>
        <w:tc>
          <w:tcPr>
            <w:tcW w:type="dxa" w:w="1728"/>
          </w:tcPr>
          <w:p>
            <w:r>
              <w:rPr>
                <w:rFonts w:ascii="Calibri" w:hAnsi="Calibri"/>
                <w:sz w:val="22"/>
              </w:rPr>
              <w:t>$14.765B</w:t>
            </w:r>
          </w:p>
        </w:tc>
        <w:tc>
          <w:tcPr>
            <w:tcW w:type="dxa" w:w="1728"/>
          </w:tcPr>
          <w:p>
            <w:r>
              <w:rPr>
                <w:rFonts w:ascii="Calibri" w:hAnsi="Calibri"/>
                <w:sz w:val="22"/>
              </w:rPr>
              <w:t>$14.729B</w:t>
            </w:r>
          </w:p>
        </w:tc>
        <w:tc>
          <w:tcPr>
            <w:tcW w:type="dxa" w:w="1728"/>
          </w:tcPr>
          <w:p>
            <w:r>
              <w:rPr>
                <w:rFonts w:ascii="Calibri" w:hAnsi="Calibri"/>
                <w:sz w:val="22"/>
              </w:rPr>
              <w:t>-$36M (-0.2%)</w:t>
            </w:r>
          </w:p>
        </w:tc>
        <w:tc>
          <w:tcPr>
            <w:tcW w:type="dxa" w:w="1728"/>
          </w:tcPr>
          <w:p>
            <w:r>
              <w:rPr>
                <w:rFonts w:ascii="Calibri" w:hAnsi="Calibri"/>
                <w:b/>
                <w:color w:val="E5484D"/>
                <w:sz w:val="22"/>
              </w:rPr>
              <w:t>↓ Slight downward revision</w:t>
            </w:r>
          </w:p>
        </w:tc>
      </w:tr>
      <w:tr>
        <w:tc>
          <w:tcPr>
            <w:tcW w:type="dxa" w:w="1728"/>
          </w:tcPr>
          <w:p>
            <w:r>
              <w:rPr>
                <w:rFonts w:ascii="Calibri" w:hAnsi="Calibri"/>
                <w:sz w:val="22"/>
              </w:rPr>
              <w:t>FY26 Noninterest Income (Operating)</w:t>
            </w:r>
          </w:p>
        </w:tc>
        <w:tc>
          <w:tcPr>
            <w:tcW w:type="dxa" w:w="1728"/>
          </w:tcPr>
          <w:p>
            <w:r>
              <w:rPr>
                <w:rFonts w:ascii="Calibri" w:hAnsi="Calibri"/>
                <w:sz w:val="22"/>
              </w:rPr>
              <w:t>$6.352B</w:t>
            </w:r>
          </w:p>
        </w:tc>
        <w:tc>
          <w:tcPr>
            <w:tcW w:type="dxa" w:w="1728"/>
          </w:tcPr>
          <w:p>
            <w:r>
              <w:rPr>
                <w:rFonts w:ascii="Calibri" w:hAnsi="Calibri"/>
                <w:sz w:val="22"/>
              </w:rPr>
              <w:t>$6.340B</w:t>
            </w:r>
          </w:p>
        </w:tc>
        <w:tc>
          <w:tcPr>
            <w:tcW w:type="dxa" w:w="1728"/>
          </w:tcPr>
          <w:p>
            <w:r>
              <w:rPr>
                <w:rFonts w:ascii="Calibri" w:hAnsi="Calibri"/>
                <w:sz w:val="22"/>
              </w:rPr>
              <w:t>-$12M (-0.2%)</w:t>
            </w:r>
          </w:p>
        </w:tc>
        <w:tc>
          <w:tcPr>
            <w:tcW w:type="dxa" w:w="1728"/>
          </w:tcPr>
          <w:p>
            <w:r>
              <w:rPr>
                <w:rFonts w:ascii="Calibri" w:hAnsi="Calibri"/>
                <w:sz w:val="22"/>
              </w:rPr>
              <w:t>→ Essentially flat</w:t>
            </w:r>
          </w:p>
        </w:tc>
      </w:tr>
    </w:tbl>
    <w:p>
      <w:r>
        <w:rPr>
          <w:rFonts w:ascii="Calibri" w:hAnsi="Calibri"/>
          <w:i/>
          <w:color w:val="525866"/>
          <w:sz w:val="22"/>
        </w:rPr>
        <w:t>Source: Visible Alpha Consensus and Actuals Data. Pre-Q1 earnings snapshot as of April 22, 2026; current consensus as of July 16, 2026.</w:t>
      </w:r>
    </w:p>
    <w:p>
      <w:r>
        <w:rPr>
          <w:rFonts w:ascii="Calibri" w:hAnsi="Calibri"/>
          <w:b/>
          <w:color w:val="525866"/>
          <w:sz w:val="22"/>
        </w:rPr>
        <w:t xml:space="preserve">Commentary: </w:t>
      </w:r>
      <w:r>
        <w:rPr>
          <w:rFonts w:ascii="Calibri" w:hAnsi="Calibri"/>
          <w:color w:val="525866"/>
          <w:sz w:val="22"/>
        </w:rPr>
        <w:t>The revision picture is nuanced — Q2 EPS estimates have ticked up modestly (+$0.01) while full-year EPS has been trimmed slightly (-$0.02), consistent with the Street absorbing the NII guidance cut but giving credit for stronger fee income and buyback accretion. The lack of meaningful downward revisions to Q2 estimates despite the NII guidance reduction suggests analysts are already embedding the fee income offset. The key risk is that consensus may be underestimating the IB &amp; trading upside given the strong Q2 peer results from BAC, WFC, JPM, and CFG.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TFC has underperformed the KRE regional bank ETF since Q1 earnings (+5.3% vs. +10.7%), suggesting the stock has </w:t>
      </w:r>
      <w:r>
        <w:rPr>
          <w:rFonts w:ascii="Calibri" w:hAnsi="Calibri"/>
          <w:b/>
          <w:color w:val="525866"/>
          <w:sz w:val="22"/>
        </w:rPr>
        <w:t>not fully priced in a beat</w:t>
      </w:r>
      <w:r>
        <w:rPr>
          <w:rFonts w:ascii="Calibri" w:hAnsi="Calibri"/>
          <w:color w:val="525866"/>
          <w:sz w:val="22"/>
        </w:rPr>
        <w:t xml:space="preserve"> and offers relative upside if Q2 results confirm the ROTCE trajectory.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TFC vs. KRE vs. SPY — Indexed Price Performance Since Q1 2026 Earnings (April 17, 2026 = 100). Source: Stock Price Data.</w:t>
      </w:r>
    </w:p>
    <w:p>
      <w:r>
        <w:rPr>
          <w:rFonts w:ascii="Calibri" w:hAnsi="Calibri"/>
          <w:color w:val="525866"/>
          <w:sz w:val="22"/>
        </w:rPr>
        <w:t>Since TFC reported Q1 2026 earnings on April 17, 2026, the stock has gained approximately +5.3% (from $50.57 to $53.25 as of July 16, 2026), modestly in line with the S&amp;P 500 (+5.7%) but meaningfully lagging the KRE regional bank ETF (+10.7%). This underperformance relative to regional bank peers is notable given TFC’s strong Q1 EPS beat and raised buyback target, and likely reflects two overhangs: (1) the NII guidance cut removing Fed rate cut assumptions, which weighed on the NIM expansion narrative, and (2) the CEO succession announcement on June 15 (incoming CEO Michael Lyons, effective September 1), which introduced near-term strategic uncertainty. The stock pulled back sharply on June 15 (from $51.66 to $48.48, -6.2%) on the CEO news before recovering. At current levels (~$53), TFC trades at approximately 10–11x forward operating EPS, a discount to large-cap bank peers, suggesting the market is not pricing in full execution of the 14% ROTCE target for 2026 or the 15% target for 2027. A clean Q2 print with IB upside and stable credit could serve as a re-rating catalyst.</w:t>
      </w:r>
    </w:p>
    <w:p>
      <w:r>
        <w:rPr>
          <w:rFonts w:ascii="Calibri" w:hAnsi="Calibri"/>
          <w:i/>
          <w:color w:val="525866"/>
          <w:sz w:val="22"/>
        </w:rPr>
        <w:t>Source: Stock Price Data.</w:t>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 xml:space="preserve">The dominant post-Q1 development is the </w:t>
      </w:r>
      <w:r>
        <w:rPr>
          <w:rFonts w:ascii="Calibri" w:hAnsi="Calibri"/>
          <w:b/>
          <w:color w:val="525866"/>
          <w:sz w:val="22"/>
        </w:rPr>
        <w:t>CEO succession announcement</w:t>
      </w:r>
      <w:r>
        <w:rPr>
          <w:rFonts w:ascii="Calibri" w:hAnsi="Calibri"/>
          <w:color w:val="525866"/>
          <w:sz w:val="22"/>
        </w:rPr>
        <w:t xml:space="preserve"> — a significant wildcard for the Q2 call that could either reassure or unsettle investors depending on how incoming CEO Lyons frames strategic continuity.</w:t>
      </w:r>
    </w:p>
    <w:p>
      <w:pPr>
        <w:pStyle w:val="ListBullet"/>
        <w:ind w:left="360" w:hanging="360"/>
      </w:pPr>
      <w:r>
        <w:rPr>
          <w:rFonts w:ascii="Calibri" w:hAnsi="Calibri"/>
          <w:b/>
          <w:color w:val="525866"/>
          <w:sz w:val="22"/>
        </w:rPr>
        <w:t xml:space="preserve">CEO Succession (June 15, 2026): </w:t>
      </w:r>
      <w:r>
        <w:rPr>
          <w:rFonts w:ascii="Calibri" w:hAnsi="Calibri"/>
          <w:color w:val="525866"/>
          <w:sz w:val="22"/>
        </w:rPr>
        <w:t>Truist announced Michael P. Lyons as incoming President and CEO, effective September 1, 2026. Lyons was most recently CEO of Fiserv and previously President of PNC Financial Services for over 13 years. Current CEO Bill Rogers will transition to Executive Chair until his planned retirement in April 2027. The announcement was framed as a planned succession, but the market reacted negatively (TFC -6.2% on June 15). Key question for the Q2 call: will Lyons participate and signal continuity of the ROTCE roadmap and capital return strategy?</w:t>
      </w:r>
    </w:p>
    <w:p>
      <w:pPr>
        <w:pStyle w:val="ListBullet"/>
        <w:ind w:left="360" w:hanging="360"/>
      </w:pPr>
      <w:r>
        <w:rPr>
          <w:rFonts w:ascii="Calibri" w:hAnsi="Calibri"/>
          <w:b/>
          <w:color w:val="525866"/>
          <w:sz w:val="22"/>
        </w:rPr>
        <w:t xml:space="preserve">Preferred Stock Issuance (May 15, 2026): </w:t>
      </w:r>
      <w:r>
        <w:rPr>
          <w:rFonts w:ascii="Calibri" w:hAnsi="Calibri"/>
          <w:color w:val="525866"/>
          <w:sz w:val="22"/>
        </w:rPr>
        <w:t>Truist issued 6.25% Series S Preferred Stock, adding common dividend restrictions. This is a capital management action consistent with the company’s strategy of optimizing its liability structure while maintaining CET1 trajectory toward the 10% target by end of 2027.</w:t>
      </w:r>
    </w:p>
    <w:p>
      <w:pPr>
        <w:pStyle w:val="ListBullet"/>
        <w:ind w:left="360" w:hanging="360"/>
      </w:pPr>
      <w:r>
        <w:rPr>
          <w:rFonts w:ascii="Calibri" w:hAnsi="Calibri"/>
          <w:b/>
          <w:color w:val="525866"/>
          <w:sz w:val="22"/>
        </w:rPr>
        <w:t xml:space="preserve">Senior Notes Issuance (April 23, 2026): </w:t>
      </w:r>
      <w:r>
        <w:rPr>
          <w:rFonts w:ascii="Calibri" w:hAnsi="Calibri"/>
          <w:color w:val="525866"/>
          <w:sz w:val="22"/>
        </w:rPr>
        <w:t>Truist issued $2 billion in senior notes, consistent with ongoing liability management and funding strategy.</w:t>
      </w:r>
    </w:p>
    <w:p>
      <w:pPr>
        <w:pStyle w:val="ListBullet"/>
        <w:ind w:left="360" w:hanging="360"/>
      </w:pPr>
      <w:r>
        <w:rPr>
          <w:rFonts w:ascii="Calibri" w:hAnsi="Calibri"/>
          <w:b/>
          <w:color w:val="525866"/>
          <w:sz w:val="22"/>
        </w:rPr>
        <w:t xml:space="preserve">Morgan Stanley U.S. Financials Conference (May 21, 2026): </w:t>
      </w:r>
      <w:r>
        <w:rPr>
          <w:rFonts w:ascii="Calibri" w:hAnsi="Calibri"/>
          <w:color w:val="525866"/>
          <w:sz w:val="22"/>
        </w:rPr>
        <w:t>Truist management presented at the Morgan Stanley U.S. Financials Conference, providing an opportunity to reiterate Q2 and full-year guidance. No material guidance changes were disclosed.</w:t>
      </w:r>
    </w:p>
    <w:p>
      <w:pPr>
        <w:pStyle w:val="ListBullet"/>
        <w:ind w:left="360" w:hanging="360"/>
      </w:pPr>
      <w:r>
        <w:rPr>
          <w:rFonts w:ascii="Calibri" w:hAnsi="Calibri"/>
          <w:b/>
          <w:color w:val="525866"/>
          <w:sz w:val="22"/>
        </w:rPr>
        <w:t xml:space="preserve">Bernstein Annual Strategic Decisions Conference (May 12, 2026): </w:t>
      </w:r>
      <w:r>
        <w:rPr>
          <w:rFonts w:ascii="Calibri" w:hAnsi="Calibri"/>
          <w:color w:val="525866"/>
          <w:sz w:val="22"/>
        </w:rPr>
        <w:t>Truist management also presented at the Bernstein conference, consistent with ongoing investor engagement.</w:t>
      </w:r>
    </w:p>
    <w:p>
      <w:pPr>
        <w:pStyle w:val="ListBullet"/>
        <w:ind w:left="360" w:hanging="360"/>
      </w:pPr>
      <w:r>
        <w:rPr>
          <w:rFonts w:ascii="Calibri" w:hAnsi="Calibri"/>
          <w:b/>
          <w:color w:val="525866"/>
          <w:sz w:val="22"/>
        </w:rPr>
        <w:t xml:space="preserve">Q2 2026 Earnings Call Details Announced (June 18, 2026): </w:t>
      </w:r>
      <w:r>
        <w:rPr>
          <w:rFonts w:ascii="Calibri" w:hAnsi="Calibri"/>
          <w:color w:val="525866"/>
          <w:sz w:val="22"/>
        </w:rPr>
        <w:t>Truist announced the details of its Q2 2026 earnings call, confirming the mid-July reporting timeline.</w:t>
      </w:r>
    </w:p>
    <w:p>
      <w:pPr>
        <w:pStyle w:val="ListBullet"/>
        <w:ind w:left="360" w:hanging="360"/>
      </w:pPr>
      <w:r>
        <w:rPr>
          <w:rFonts w:ascii="Calibri" w:hAnsi="Calibri"/>
          <w:b/>
          <w:color w:val="525866"/>
          <w:sz w:val="22"/>
        </w:rPr>
        <w:t xml:space="preserve">Insider Activity: </w:t>
      </w:r>
      <w:r>
        <w:rPr>
          <w:rFonts w:ascii="Calibri" w:hAnsi="Calibri"/>
          <w:color w:val="525866"/>
          <w:sz w:val="22"/>
        </w:rPr>
        <w:t>Chief Risk Officer Bradley D. Bender disposed of 9,115 shares of common stock on June 1, 2026 (filed June 3, 2026), at an implied transaction under a non-10b5-1 plan. This is a relatively small transaction and not indicative of a directional signal. No open-market purchases by insiders were recorded in the post-Q1 window.</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Q2 2026 peer results from BAC, WFC, JPM, CFG, and USB (all reporting this week) paint a </w:t>
      </w:r>
      <w:r>
        <w:rPr>
          <w:rFonts w:ascii="Calibri" w:hAnsi="Calibri"/>
          <w:b/>
          <w:color w:val="525866"/>
          <w:sz w:val="22"/>
        </w:rPr>
        <w:t>broadly constructive backdrop for TFC</w:t>
      </w:r>
      <w:r>
        <w:rPr>
          <w:rFonts w:ascii="Calibri" w:hAnsi="Calibri"/>
          <w:color w:val="525866"/>
          <w:sz w:val="22"/>
        </w:rPr>
        <w:t xml:space="preserve"> — strong capital markets / IB activity, resilient loan growth, stable-to-improving credit quality, and continued NIM expansion are the dominant themes, all of which are directly relevant to TFC’s Q2 setup.</w:t>
      </w:r>
    </w:p>
    <w:p>
      <w:r>
        <w:rPr>
          <w:rFonts w:ascii="Calibri" w:hAnsi="Calibri"/>
          <w:b/>
          <w:color w:val="525866"/>
          <w:sz w:val="22"/>
        </w:rPr>
        <w:t xml:space="preserve">Note: </w:t>
      </w:r>
      <w:r>
        <w:rPr>
          <w:rFonts w:ascii="Calibri" w:hAnsi="Calibri"/>
          <w:i/>
          <w:color w:val="525866"/>
          <w:sz w:val="22"/>
        </w:rPr>
        <w:t>Only Q2 2026 earnings calls and post-Q1 2026 conference appearances are included below. Q1 2025 or prior-period earnings commentary has been excluded per the user’s instruction to include only current-quarter read-through.</w:t>
      </w:r>
    </w:p>
    <w:p>
      <w:pPr>
        <w:pStyle w:val="Heading3"/>
      </w:pPr>
      <w:r>
        <w:rPr>
          <w:rFonts w:ascii="Calibri" w:hAnsi="Calibri"/>
          <w:b/>
          <w:color w:val="3B4259"/>
          <w:sz w:val="24"/>
        </w:rPr>
        <w:t>Bank of America (BAC) — Q2 2026 Earnings (July 14,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BAC Commentary</w:t>
            </w:r>
          </w:p>
        </w:tc>
        <w:tc>
          <w:tcPr>
            <w:tcW w:type="dxa" w:w="2880"/>
            <w:shd w:val="clear" w:color="auto" w:fill="3B4259"/>
          </w:tcPr>
          <w:p>
            <w:r>
              <w:rPr>
                <w:rFonts w:ascii="Calibri" w:hAnsi="Calibri"/>
                <w:b/>
                <w:color w:val="FFFFFF"/>
                <w:sz w:val="22"/>
              </w:rPr>
              <w:t>TFC Read-Through</w:t>
            </w:r>
          </w:p>
        </w:tc>
      </w:tr>
      <w:tr>
        <w:tc>
          <w:tcPr>
            <w:tcW w:type="dxa" w:w="2880"/>
          </w:tcPr>
          <w:p>
            <w:r>
              <w:rPr>
                <w:rFonts w:ascii="Calibri" w:hAnsi="Calibri"/>
                <w:sz w:val="22"/>
              </w:rPr>
              <w:t>NII &amp; NIM</w:t>
            </w:r>
          </w:p>
        </w:tc>
        <w:tc>
          <w:tcPr>
            <w:tcW w:type="dxa" w:w="2880"/>
          </w:tcPr>
          <w:p>
            <w:r>
              <w:rPr>
                <w:rFonts w:ascii="Calibri" w:hAnsi="Calibri"/>
                <w:sz w:val="22"/>
              </w:rPr>
              <w:t>NII (FTE) of $16.2B in Q2, up $253M QoQ and +9% YoY. Full-year 2026 NII growth now expected at the upper end of the 6–8% range, supported by loan/deposit growth and fixed-rate asset repricing. NII build driven by banking book (liability insensitive); markets NII expected to be “flattish to slightly down” with potential rate cut in Q4.</w:t>
            </w:r>
          </w:p>
        </w:tc>
        <w:tc>
          <w:tcPr>
            <w:tcW w:type="dxa" w:w="2880"/>
          </w:tcPr>
          <w:p>
            <w:r>
              <w:rPr>
                <w:rFonts w:ascii="Calibri" w:hAnsi="Calibri"/>
                <w:i/>
                <w:sz w:val="22"/>
              </w:rPr>
              <w:t>Positive: Fixed-rate asset repricing is a shared tailwind. BAC’s NII acceleration confirms the macro backdrop supports NII growth for banks with repricing books. TFC’s NII guidance of +2–3% FY26 looks conservative relative to BAC’s +6–8% trajectory, but TFC’s smaller balance sheet and different mix make direct comparison imperfect.</w:t>
            </w:r>
          </w:p>
        </w:tc>
      </w:tr>
      <w:tr>
        <w:tc>
          <w:tcPr>
            <w:tcW w:type="dxa" w:w="2880"/>
          </w:tcPr>
          <w:p>
            <w:r>
              <w:rPr>
                <w:rFonts w:ascii="Calibri" w:hAnsi="Calibri"/>
                <w:sz w:val="22"/>
              </w:rPr>
              <w:t>Loan Growth</w:t>
            </w:r>
          </w:p>
        </w:tc>
        <w:tc>
          <w:tcPr>
            <w:tcW w:type="dxa" w:w="2880"/>
          </w:tcPr>
          <w:p>
            <w:r>
              <w:rPr>
                <w:rFonts w:ascii="Calibri" w:hAnsi="Calibri"/>
                <w:sz w:val="22"/>
              </w:rPr>
              <w:t>Average loans up 8% YoY to $1.2T; ninth consecutive quarter of growth. Commercial lending leads (+11% YoY), broad-based across business banking, commercial bank, and corporate bank. Consumer loans +3% YoY. Management “pretty constructive on loan growth in the second half.”</w:t>
            </w:r>
          </w:p>
        </w:tc>
        <w:tc>
          <w:tcPr>
            <w:tcW w:type="dxa" w:w="2880"/>
          </w:tcPr>
          <w:p>
            <w:r>
              <w:rPr>
                <w:rFonts w:ascii="Calibri" w:hAnsi="Calibri"/>
                <w:i/>
                <w:sz w:val="22"/>
              </w:rPr>
              <w:t>Positive: Broad-based commercial loan demand is a direct read-through for TFC’s commercial banking franchise. TFC guided +3–4% average loan growth for FY26; BAC’s strong commercial momentum suggests the demand environment supports TFC’s target.</w:t>
            </w:r>
          </w:p>
        </w:tc>
      </w:tr>
      <w:tr>
        <w:tc>
          <w:tcPr>
            <w:tcW w:type="dxa" w:w="2880"/>
          </w:tcPr>
          <w:p>
            <w:r>
              <w:rPr>
                <w:rFonts w:ascii="Calibri" w:hAnsi="Calibri"/>
                <w:sz w:val="22"/>
              </w:rPr>
              <w:t>Capital Markets / IB</w:t>
            </w:r>
          </w:p>
        </w:tc>
        <w:tc>
          <w:tcPr>
            <w:tcW w:type="dxa" w:w="2880"/>
          </w:tcPr>
          <w:p>
            <w:r>
              <w:rPr>
                <w:rFonts w:ascii="Calibri" w:hAnsi="Calibri"/>
                <w:sz w:val="22"/>
              </w:rPr>
              <w:t>Revenue grew 15% YoY to $31.6B; EPS +34% YoY to $1.21. ROTCE of 17%. Operating leverage of 6.6%. Strong investment banking and trading activity was a key driver.</w:t>
            </w:r>
          </w:p>
        </w:tc>
        <w:tc>
          <w:tcPr>
            <w:tcW w:type="dxa" w:w="2880"/>
          </w:tcPr>
          <w:p>
            <w:r>
              <w:rPr>
                <w:rFonts w:ascii="Calibri" w:hAnsi="Calibri"/>
                <w:i/>
                <w:sz w:val="22"/>
              </w:rPr>
              <w:t>Strongly Positive: BAC’s strong IB/trading performance is the most important read-through for TFC. TFC guided IB &amp; trading to potentially reach “high teens to 20%” full-year growth; BAC’s results confirm the capital markets environment was robust in Q2.</w:t>
            </w:r>
          </w:p>
        </w:tc>
      </w:tr>
      <w:tr>
        <w:tc>
          <w:tcPr>
            <w:tcW w:type="dxa" w:w="2880"/>
          </w:tcPr>
          <w:p>
            <w:r>
              <w:rPr>
                <w:rFonts w:ascii="Calibri" w:hAnsi="Calibri"/>
                <w:sz w:val="22"/>
              </w:rPr>
              <w:t>Credit Quality</w:t>
            </w:r>
          </w:p>
        </w:tc>
        <w:tc>
          <w:tcPr>
            <w:tcW w:type="dxa" w:w="2880"/>
          </w:tcPr>
          <w:p>
            <w:r>
              <w:rPr>
                <w:rFonts w:ascii="Calibri" w:hAnsi="Calibri"/>
                <w:sz w:val="22"/>
              </w:rPr>
              <w:t>ROTCE of 17%; efficiency ratio improved to 59%. No specific NCO commentary flagged as a concern; credit quality described as stable.</w:t>
            </w:r>
          </w:p>
        </w:tc>
        <w:tc>
          <w:tcPr>
            <w:tcW w:type="dxa" w:w="2880"/>
          </w:tcPr>
          <w:p>
            <w:r>
              <w:rPr>
                <w:rFonts w:ascii="Calibri" w:hAnsi="Calibri"/>
                <w:i/>
                <w:sz w:val="22"/>
              </w:rPr>
              <w:t>Neutral/Positive: Stable credit at BAC is consistent with TFC’s own stable credit narrative. No systemic deterioration signals.</w:t>
            </w:r>
          </w:p>
        </w:tc>
      </w:tr>
      <w:tr>
        <w:tc>
          <w:tcPr>
            <w:tcW w:type="dxa" w:w="2880"/>
          </w:tcPr>
          <w:p>
            <w:r>
              <w:rPr>
                <w:rFonts w:ascii="Calibri" w:hAnsi="Calibri"/>
                <w:sz w:val="22"/>
              </w:rPr>
              <w:t>Deposits</w:t>
            </w:r>
          </w:p>
        </w:tc>
        <w:tc>
          <w:tcPr>
            <w:tcW w:type="dxa" w:w="2880"/>
          </w:tcPr>
          <w:p>
            <w:r>
              <w:rPr>
                <w:rFonts w:ascii="Calibri" w:hAnsi="Calibri"/>
                <w:sz w:val="22"/>
              </w:rPr>
              <w:t>Average deposits $2.02T, up 2.5% YoY; 12th consecutive quarter of growth. Noninterest-bearing deposits grew $19B (+4%). Global banking deposits +8% YoY.</w:t>
            </w:r>
          </w:p>
        </w:tc>
        <w:tc>
          <w:tcPr>
            <w:tcW w:type="dxa" w:w="2880"/>
          </w:tcPr>
          <w:p>
            <w:r>
              <w:rPr>
                <w:rFonts w:ascii="Calibri" w:hAnsi="Calibri"/>
                <w:i/>
                <w:sz w:val="22"/>
              </w:rPr>
              <w:t>Positive: Continued deposit growth and NIB stabilization at BAC supports the view that deposit outflows have normalized. TFC’s low-single-digit deposit growth guidance looks achievable.</w:t>
            </w:r>
          </w:p>
        </w:tc>
      </w:tr>
    </w:tbl>
    <w:p>
      <w:pPr>
        <w:pStyle w:val="Heading3"/>
      </w:pPr>
      <w:r>
        <w:rPr>
          <w:rFonts w:ascii="Calibri" w:hAnsi="Calibri"/>
          <w:b/>
          <w:color w:val="3B4259"/>
          <w:sz w:val="24"/>
        </w:rPr>
        <w:t>Wells Fargo (WFC) — Q2 2026 Earnings (July 14,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WFC Commentary</w:t>
            </w:r>
          </w:p>
        </w:tc>
        <w:tc>
          <w:tcPr>
            <w:tcW w:type="dxa" w:w="2880"/>
            <w:shd w:val="clear" w:color="auto" w:fill="3B4259"/>
          </w:tcPr>
          <w:p>
            <w:r>
              <w:rPr>
                <w:rFonts w:ascii="Calibri" w:hAnsi="Calibri"/>
                <w:b/>
                <w:color w:val="FFFFFF"/>
                <w:sz w:val="22"/>
              </w:rPr>
              <w:t>TFC Read-Through</w:t>
            </w:r>
          </w:p>
        </w:tc>
      </w:tr>
      <w:tr>
        <w:tc>
          <w:tcPr>
            <w:tcW w:type="dxa" w:w="2880"/>
          </w:tcPr>
          <w:p>
            <w:r>
              <w:rPr>
                <w:rFonts w:ascii="Calibri" w:hAnsi="Calibri"/>
                <w:sz w:val="22"/>
              </w:rPr>
              <w:t>NII &amp; NIM</w:t>
            </w:r>
          </w:p>
        </w:tc>
        <w:tc>
          <w:tcPr>
            <w:tcW w:type="dxa" w:w="2880"/>
          </w:tcPr>
          <w:p>
            <w:r>
              <w:rPr>
                <w:rFonts w:ascii="Calibri" w:hAnsi="Calibri"/>
                <w:sz w:val="22"/>
              </w:rPr>
              <w:t>WFC reported Q2 2026 NII results with continued sequential improvement. Management noted that fixed-rate asset repricing remains a meaningful tailwind and that the NII trajectory is improving as the securities and loan portfolios reprice higher.</w:t>
            </w:r>
          </w:p>
        </w:tc>
        <w:tc>
          <w:tcPr>
            <w:tcW w:type="dxa" w:w="2880"/>
          </w:tcPr>
          <w:p>
            <w:r>
              <w:rPr>
                <w:rFonts w:ascii="Calibri" w:hAnsi="Calibri"/>
                <w:i/>
                <w:sz w:val="22"/>
              </w:rPr>
              <w:t>Positive: WFC’s fixed-rate repricing tailwind is directly analogous to TFC’s own repricing story. Both banks have substantial pools of fixed-rate assets scheduled to reprice, supporting NII into 2H 2026.</w:t>
            </w:r>
          </w:p>
        </w:tc>
      </w:tr>
      <w:tr>
        <w:tc>
          <w:tcPr>
            <w:tcW w:type="dxa" w:w="2880"/>
          </w:tcPr>
          <w:p>
            <w:r>
              <w:rPr>
                <w:rFonts w:ascii="Calibri" w:hAnsi="Calibri"/>
                <w:sz w:val="22"/>
              </w:rPr>
              <w:t>Loan Growth</w:t>
            </w:r>
          </w:p>
        </w:tc>
        <w:tc>
          <w:tcPr>
            <w:tcW w:type="dxa" w:w="2880"/>
          </w:tcPr>
          <w:p>
            <w:r>
              <w:rPr>
                <w:rFonts w:ascii="Calibri" w:hAnsi="Calibri"/>
                <w:sz w:val="22"/>
              </w:rPr>
              <w:t>Loan growth was positive in Q2, with commercial lending showing broad-based demand. Management noted that C&amp;I loan demand remains healthy across geographies and industries.</w:t>
            </w:r>
          </w:p>
        </w:tc>
        <w:tc>
          <w:tcPr>
            <w:tcW w:type="dxa" w:w="2880"/>
          </w:tcPr>
          <w:p>
            <w:r>
              <w:rPr>
                <w:rFonts w:ascii="Calibri" w:hAnsi="Calibri"/>
                <w:i/>
                <w:sz w:val="22"/>
              </w:rPr>
              <w:t>Positive: Consistent with BAC’s read-through — broad C&amp;I demand supports TFC’s commercial loan growth target.</w:t>
            </w:r>
          </w:p>
        </w:tc>
      </w:tr>
      <w:tr>
        <w:tc>
          <w:tcPr>
            <w:tcW w:type="dxa" w:w="2880"/>
          </w:tcPr>
          <w:p>
            <w:r>
              <w:rPr>
                <w:rFonts w:ascii="Calibri" w:hAnsi="Calibri"/>
                <w:sz w:val="22"/>
              </w:rPr>
              <w:t>Capital Markets / IB</w:t>
            </w:r>
          </w:p>
        </w:tc>
        <w:tc>
          <w:tcPr>
            <w:tcW w:type="dxa" w:w="2880"/>
          </w:tcPr>
          <w:p>
            <w:r>
              <w:rPr>
                <w:rFonts w:ascii="Calibri" w:hAnsi="Calibri"/>
                <w:sz w:val="22"/>
              </w:rPr>
              <w:t>WFC reported strong investment banking and trading revenue in Q2 2026, consistent with the broader industry trend of robust capital markets activity.</w:t>
            </w:r>
          </w:p>
        </w:tc>
        <w:tc>
          <w:tcPr>
            <w:tcW w:type="dxa" w:w="2880"/>
          </w:tcPr>
          <w:p>
            <w:r>
              <w:rPr>
                <w:rFonts w:ascii="Calibri" w:hAnsi="Calibri"/>
                <w:i/>
                <w:sz w:val="22"/>
              </w:rPr>
              <w:t>Positive: Confirms the Q2 capital markets environment was favorable across the industry, supporting TFC’s IB &amp; trading growth guidance.</w:t>
            </w:r>
          </w:p>
        </w:tc>
      </w:tr>
      <w:tr>
        <w:tc>
          <w:tcPr>
            <w:tcW w:type="dxa" w:w="2880"/>
          </w:tcPr>
          <w:p>
            <w:r>
              <w:rPr>
                <w:rFonts w:ascii="Calibri" w:hAnsi="Calibri"/>
                <w:sz w:val="22"/>
              </w:rPr>
              <w:t>Credit Quality</w:t>
            </w:r>
          </w:p>
        </w:tc>
        <w:tc>
          <w:tcPr>
            <w:tcW w:type="dxa" w:w="2880"/>
          </w:tcPr>
          <w:p>
            <w:r>
              <w:rPr>
                <w:rFonts w:ascii="Calibri" w:hAnsi="Calibri"/>
                <w:sz w:val="22"/>
              </w:rPr>
              <w:t>Credit quality remained stable in Q2 2026. No material deterioration in NCO ratios or NPL trends was flagged.</w:t>
            </w:r>
          </w:p>
        </w:tc>
        <w:tc>
          <w:tcPr>
            <w:tcW w:type="dxa" w:w="2880"/>
          </w:tcPr>
          <w:p>
            <w:r>
              <w:rPr>
                <w:rFonts w:ascii="Calibri" w:hAnsi="Calibri"/>
                <w:i/>
                <w:sz w:val="22"/>
              </w:rPr>
              <w:t>Neutral/Positive: Stable credit environment at WFC is consistent with TFC’s own credit quality narrative and consensus NCO estimate of 0.55%.</w:t>
            </w:r>
          </w:p>
        </w:tc>
      </w:tr>
    </w:tbl>
    <w:p>
      <w:pPr>
        <w:pStyle w:val="Heading3"/>
      </w:pPr>
      <w:r>
        <w:rPr>
          <w:rFonts w:ascii="Calibri" w:hAnsi="Calibri"/>
          <w:b/>
          <w:color w:val="3B4259"/>
          <w:sz w:val="24"/>
        </w:rPr>
        <w:t>Citizens Financial Group (CFG) — Q2 2026 Earnings (July 16,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CFG Commentary</w:t>
            </w:r>
          </w:p>
        </w:tc>
        <w:tc>
          <w:tcPr>
            <w:tcW w:type="dxa" w:w="2880"/>
            <w:shd w:val="clear" w:color="auto" w:fill="3B4259"/>
          </w:tcPr>
          <w:p>
            <w:r>
              <w:rPr>
                <w:rFonts w:ascii="Calibri" w:hAnsi="Calibri"/>
                <w:b/>
                <w:color w:val="FFFFFF"/>
                <w:sz w:val="22"/>
              </w:rPr>
              <w:t>TFC Read-Through</w:t>
            </w:r>
          </w:p>
        </w:tc>
      </w:tr>
      <w:tr>
        <w:tc>
          <w:tcPr>
            <w:tcW w:type="dxa" w:w="2880"/>
          </w:tcPr>
          <w:p>
            <w:r>
              <w:rPr>
                <w:rFonts w:ascii="Calibri" w:hAnsi="Calibri"/>
                <w:sz w:val="22"/>
              </w:rPr>
              <w:t>NII &amp; NIM</w:t>
            </w:r>
          </w:p>
        </w:tc>
        <w:tc>
          <w:tcPr>
            <w:tcW w:type="dxa" w:w="2880"/>
          </w:tcPr>
          <w:p>
            <w:r>
              <w:rPr>
                <w:rFonts w:ascii="Calibri" w:hAnsi="Calibri"/>
                <w:sz w:val="22"/>
              </w:rPr>
              <w:t>NII up 4.4% QoQ and +14% YoY in Q2 2026, driven by NIM expansion (+3 bps QoQ, +10 bps in 1H 2026). Terminated swap benefits (+6 bps) and fixed-rate repricing (+1 bp) were key drivers. CFG projects Q4 2026 NIM of 3.22–3.27% and Q4 2027 NIM of 3.30–3.50%. Funding costs ticked up slightly as loan demand strengthened.</w:t>
            </w:r>
          </w:p>
        </w:tc>
        <w:tc>
          <w:tcPr>
            <w:tcW w:type="dxa" w:w="2880"/>
          </w:tcPr>
          <w:p>
            <w:r>
              <w:rPr>
                <w:rFonts w:ascii="Calibri" w:hAnsi="Calibri"/>
                <w:i/>
                <w:sz w:val="22"/>
              </w:rPr>
              <w:t>Strongly Positive: CFG’s NIM expansion story is a direct read-through for TFC. Both banks benefit from terminated swap tailwinds and fixed-rate repricing. CFG’s Q4 2026 NIM target of 3.22–3.27% is above TFC’s current 3.02% FTE NIM, but the directional trajectory (sequential expansion in 2H) is consistent with TFC’s own guidance.</w:t>
            </w:r>
          </w:p>
        </w:tc>
      </w:tr>
      <w:tr>
        <w:tc>
          <w:tcPr>
            <w:tcW w:type="dxa" w:w="2880"/>
          </w:tcPr>
          <w:p>
            <w:r>
              <w:rPr>
                <w:rFonts w:ascii="Calibri" w:hAnsi="Calibri"/>
                <w:sz w:val="22"/>
              </w:rPr>
              <w:t>Loan Growth</w:t>
            </w:r>
          </w:p>
        </w:tc>
        <w:tc>
          <w:tcPr>
            <w:tcW w:type="dxa" w:w="2880"/>
          </w:tcPr>
          <w:p>
            <w:r>
              <w:rPr>
                <w:rFonts w:ascii="Calibri" w:hAnsi="Calibri"/>
                <w:sz w:val="22"/>
              </w:rPr>
              <w:t>Average loans up 2% QoQ; period-end loans up 3% across all businesses. CNI growth broad-based across technology, healthcare, energy, and FIG sectors. Private credit funds actively utilizing facilities. Full-year average loan growth expected to be “slightly ahead” of January guidance.</w:t>
            </w:r>
          </w:p>
        </w:tc>
        <w:tc>
          <w:tcPr>
            <w:tcW w:type="dxa" w:w="2880"/>
          </w:tcPr>
          <w:p>
            <w:r>
              <w:rPr>
                <w:rFonts w:ascii="Calibri" w:hAnsi="Calibri"/>
                <w:i/>
                <w:sz w:val="22"/>
              </w:rPr>
              <w:t>Positive: CFG’s broad-based CNI growth and private credit facility utilization are consistent with TFC’s commercial loan growth narrative. The “slightly ahead of guidance” comment is a positive signal for the industry.</w:t>
            </w:r>
          </w:p>
        </w:tc>
      </w:tr>
      <w:tr>
        <w:tc>
          <w:tcPr>
            <w:tcW w:type="dxa" w:w="2880"/>
          </w:tcPr>
          <w:p>
            <w:r>
              <w:rPr>
                <w:rFonts w:ascii="Calibri" w:hAnsi="Calibri"/>
                <w:sz w:val="22"/>
              </w:rPr>
              <w:t>Deposits</w:t>
            </w:r>
          </w:p>
        </w:tc>
        <w:tc>
          <w:tcPr>
            <w:tcW w:type="dxa" w:w="2880"/>
          </w:tcPr>
          <w:p>
            <w:r>
              <w:rPr>
                <w:rFonts w:ascii="Calibri" w:hAnsi="Calibri"/>
                <w:sz w:val="22"/>
              </w:rPr>
              <w:t>Average deposits up 1% QoQ. Consumer deposits represent 64% of total (vs. peer average of ~56%). Total NIB and low-cost deposit mix stable at 42%. Interest-bearing deposit costs up 4 bps; cumulative IB deposit beta of 48%. More robust deposit growth expected in Q4 2026.</w:t>
            </w:r>
          </w:p>
        </w:tc>
        <w:tc>
          <w:tcPr>
            <w:tcW w:type="dxa" w:w="2880"/>
          </w:tcPr>
          <w:p>
            <w:r>
              <w:rPr>
                <w:rFonts w:ascii="Calibri" w:hAnsi="Calibri"/>
                <w:i/>
                <w:sz w:val="22"/>
              </w:rPr>
              <w:t>Positive: CFG’s stable deposit mix and manageable deposit cost increases are consistent with TFC’s deposit strategy. The expectation of more robust deposit growth in Q4 aligns with TFC’s low-single-digit FY26 deposit growth guidance.</w:t>
            </w:r>
          </w:p>
        </w:tc>
      </w:tr>
      <w:tr>
        <w:tc>
          <w:tcPr>
            <w:tcW w:type="dxa" w:w="2880"/>
          </w:tcPr>
          <w:p>
            <w:r>
              <w:rPr>
                <w:rFonts w:ascii="Calibri" w:hAnsi="Calibri"/>
                <w:sz w:val="22"/>
              </w:rPr>
              <w:t>Credit Quality</w:t>
            </w:r>
          </w:p>
        </w:tc>
        <w:tc>
          <w:tcPr>
            <w:tcW w:type="dxa" w:w="2880"/>
          </w:tcPr>
          <w:p>
            <w:r>
              <w:rPr>
                <w:rFonts w:ascii="Calibri" w:hAnsi="Calibri"/>
                <w:sz w:val="22"/>
              </w:rPr>
              <w:t>Net charge-offs at 37 bps in Q2, down from 39 bps in Q1. Credit continues to trend favorably. Non-core auto portfolio runoff of ~$400M in Q2.</w:t>
            </w:r>
          </w:p>
        </w:tc>
        <w:tc>
          <w:tcPr>
            <w:tcW w:type="dxa" w:w="2880"/>
          </w:tcPr>
          <w:p>
            <w:r>
              <w:rPr>
                <w:rFonts w:ascii="Calibri" w:hAnsi="Calibri"/>
                <w:i/>
                <w:sz w:val="22"/>
              </w:rPr>
              <w:t>Positive: CFG’s improving NCO ratio (37 bps) is a positive read-through for TFC’s credit quality. TFC’s consensus NCO estimate of 55 bps is higher (reflecting different portfolio mix), but the directional improvement trend is encouraging.</w:t>
            </w:r>
          </w:p>
        </w:tc>
      </w:tr>
    </w:tbl>
    <w:p>
      <w:pPr>
        <w:pStyle w:val="Heading3"/>
      </w:pPr>
      <w:r>
        <w:rPr>
          <w:rFonts w:ascii="Calibri" w:hAnsi="Calibri"/>
          <w:b/>
          <w:color w:val="3B4259"/>
          <w:sz w:val="24"/>
        </w:rPr>
        <w:t>U.S. Bancorp (USB) — Q2 2026 Earnings (July 16, 2026) &amp; Morgan Stanley Conference (June 10,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USB Commentary</w:t>
            </w:r>
          </w:p>
        </w:tc>
        <w:tc>
          <w:tcPr>
            <w:tcW w:type="dxa" w:w="2880"/>
            <w:shd w:val="clear" w:color="auto" w:fill="3B4259"/>
          </w:tcPr>
          <w:p>
            <w:r>
              <w:rPr>
                <w:rFonts w:ascii="Calibri" w:hAnsi="Calibri"/>
                <w:b/>
                <w:color w:val="FFFFFF"/>
                <w:sz w:val="22"/>
              </w:rPr>
              <w:t>TFC Read-Through</w:t>
            </w:r>
          </w:p>
        </w:tc>
      </w:tr>
      <w:tr>
        <w:tc>
          <w:tcPr>
            <w:tcW w:type="dxa" w:w="2880"/>
          </w:tcPr>
          <w:p>
            <w:r>
              <w:rPr>
                <w:rFonts w:ascii="Calibri" w:hAnsi="Calibri"/>
                <w:sz w:val="22"/>
              </w:rPr>
              <w:t>NII &amp; NIM (Q2 Earnings)</w:t>
            </w:r>
          </w:p>
        </w:tc>
        <w:tc>
          <w:tcPr>
            <w:tcW w:type="dxa" w:w="2880"/>
          </w:tcPr>
          <w:p>
            <w:r>
              <w:rPr>
                <w:rFonts w:ascii="Calibri" w:hAnsi="Calibri"/>
                <w:sz w:val="22"/>
              </w:rPr>
              <w:t>USB guided Q2 NII toward the upper end of its 6–7% YoY growth range at the Morgan Stanley conference (June 10). At Q2 earnings (July 16), USB confirmed strong NII performance. USB is positioned as neutral from an interest rate risk perspective, meaning rate moves (up or down) have limited NII impact.</w:t>
            </w:r>
          </w:p>
        </w:tc>
        <w:tc>
          <w:tcPr>
            <w:tcW w:type="dxa" w:w="2880"/>
          </w:tcPr>
          <w:p>
            <w:r>
              <w:rPr>
                <w:rFonts w:ascii="Calibri" w:hAnsi="Calibri"/>
                <w:i/>
                <w:sz w:val="22"/>
              </w:rPr>
              <w:t>Positive: USB’s NII outperformance vs. guidance is a positive read-through for the regional bank NII environment. TFC’s NII guidance of +2–3% FY26 looks conservative if the broader industry is tracking at the upper end of guidance ranges.</w:t>
            </w:r>
          </w:p>
        </w:tc>
      </w:tr>
      <w:tr>
        <w:tc>
          <w:tcPr>
            <w:tcW w:type="dxa" w:w="2880"/>
          </w:tcPr>
          <w:p>
            <w:r>
              <w:rPr>
                <w:rFonts w:ascii="Calibri" w:hAnsi="Calibri"/>
                <w:sz w:val="22"/>
              </w:rPr>
              <w:t>Fee Revenue (Q2 Earnings)</w:t>
            </w:r>
          </w:p>
        </w:tc>
        <w:tc>
          <w:tcPr>
            <w:tcW w:type="dxa" w:w="2880"/>
          </w:tcPr>
          <w:p>
            <w:r>
              <w:rPr>
                <w:rFonts w:ascii="Calibri" w:hAnsi="Calibri"/>
                <w:sz w:val="22"/>
              </w:rPr>
              <w:t>USB guided Q2 fee revenue to be “above” its 6–7% YoY growth range, driven by strength in capital markets. This was confirmed at Q2 earnings.</w:t>
            </w:r>
          </w:p>
        </w:tc>
        <w:tc>
          <w:tcPr>
            <w:tcW w:type="dxa" w:w="2880"/>
          </w:tcPr>
          <w:p>
            <w:r>
              <w:rPr>
                <w:rFonts w:ascii="Calibri" w:hAnsi="Calibri"/>
                <w:i/>
                <w:sz w:val="22"/>
              </w:rPr>
              <w:t>Strongly Positive: USB’s fee revenue outperformance driven by capital markets is a direct read-through for TFC’s noninterest income. If USB is beating its fee guidance, TFC’s IB &amp; trading line likely benefited from the same environment.</w:t>
            </w:r>
          </w:p>
        </w:tc>
      </w:tr>
      <w:tr>
        <w:tc>
          <w:tcPr>
            <w:tcW w:type="dxa" w:w="2880"/>
          </w:tcPr>
          <w:p>
            <w:r>
              <w:rPr>
                <w:rFonts w:ascii="Calibri" w:hAnsi="Calibri"/>
                <w:sz w:val="22"/>
              </w:rPr>
              <w:t>Operating Leverage</w:t>
            </w:r>
          </w:p>
        </w:tc>
        <w:tc>
          <w:tcPr>
            <w:tcW w:type="dxa" w:w="2880"/>
          </w:tcPr>
          <w:p>
            <w:r>
              <w:rPr>
                <w:rFonts w:ascii="Calibri" w:hAnsi="Calibri"/>
                <w:sz w:val="22"/>
              </w:rPr>
              <w:t>USB guided “a lot of positive operating leverage” for Q2 at the Morgan Stanley conference, with expenses tracking in line at +3–4% YoY. Full-year guidance unchanged: mid-single-digit revenue growth and at least 200 bps of positive operating leverage.</w:t>
            </w:r>
          </w:p>
        </w:tc>
        <w:tc>
          <w:tcPr>
            <w:tcW w:type="dxa" w:w="2880"/>
          </w:tcPr>
          <w:p>
            <w:r>
              <w:rPr>
                <w:rFonts w:ascii="Calibri" w:hAnsi="Calibri"/>
                <w:i/>
                <w:sz w:val="22"/>
              </w:rPr>
              <w:t>Positive: USB’s 200+ bps operating leverage target mirrors TFC’s own target. Both banks are executing on the same efficiency playbook, and USB’s confirmation of the target is a positive signal for TFC.</w:t>
            </w:r>
          </w:p>
        </w:tc>
      </w:tr>
      <w:tr>
        <w:tc>
          <w:tcPr>
            <w:tcW w:type="dxa" w:w="2880"/>
          </w:tcPr>
          <w:p>
            <w:r>
              <w:rPr>
                <w:rFonts w:ascii="Calibri" w:hAnsi="Calibri"/>
                <w:sz w:val="22"/>
              </w:rPr>
              <w:t>Deposits</w:t>
            </w:r>
          </w:p>
        </w:tc>
        <w:tc>
          <w:tcPr>
            <w:tcW w:type="dxa" w:w="2880"/>
          </w:tcPr>
          <w:p>
            <w:r>
              <w:rPr>
                <w:rFonts w:ascii="Calibri" w:hAnsi="Calibri"/>
                <w:sz w:val="22"/>
              </w:rPr>
              <w:t>USB expects another record amount of consumer deposits in Q2. Consumer deposit mix has increased 2 points over recent quarters. USB dismisses stablecoin/AI deposit disruption concerns as “overblown” — “the noise is far outpacing any observed behavior.”</w:t>
            </w:r>
          </w:p>
        </w:tc>
        <w:tc>
          <w:tcPr>
            <w:tcW w:type="dxa" w:w="2880"/>
          </w:tcPr>
          <w:p>
            <w:r>
              <w:rPr>
                <w:rFonts w:ascii="Calibri" w:hAnsi="Calibri"/>
                <w:i/>
                <w:sz w:val="22"/>
              </w:rPr>
              <w:t>Positive: USB’s dismissal of stablecoin/AI deposit disruption concerns is consistent with TFC management’s own view that retail deposits are less at risk. Record consumer deposit growth at USB supports TFC’s low-single-digit deposit growth guidance.</w:t>
            </w:r>
          </w:p>
        </w:tc>
      </w:tr>
      <w:tr>
        <w:tc>
          <w:tcPr>
            <w:tcW w:type="dxa" w:w="2880"/>
          </w:tcPr>
          <w:p>
            <w:r>
              <w:rPr>
                <w:rFonts w:ascii="Calibri" w:hAnsi="Calibri"/>
                <w:sz w:val="22"/>
              </w:rPr>
              <w:t>Loan Growth</w:t>
            </w:r>
          </w:p>
        </w:tc>
        <w:tc>
          <w:tcPr>
            <w:tcW w:type="dxa" w:w="2880"/>
          </w:tcPr>
          <w:p>
            <w:r>
              <w:rPr>
                <w:rFonts w:ascii="Calibri" w:hAnsi="Calibri"/>
                <w:sz w:val="22"/>
              </w:rPr>
              <w:t>Loan demand described as “broad-based across virtually all categories.” C&amp;I demand driven by CapEx and M&amp;A. CRE growing, led by multifamily. Credit card spend “robust.” Loan spreads have “grinded in a little bit” in line with macro credit spreads.</w:t>
            </w:r>
          </w:p>
        </w:tc>
        <w:tc>
          <w:tcPr>
            <w:tcW w:type="dxa" w:w="2880"/>
          </w:tcPr>
          <w:p>
            <w:r>
              <w:rPr>
                <w:rFonts w:ascii="Calibri" w:hAnsi="Calibri"/>
                <w:i/>
                <w:sz w:val="22"/>
              </w:rPr>
              <w:t>Positive: Broad-based loan demand at USB is consistent with TFC’s +3–4% loan growth guidance. The slight spread compression is a minor negative but not a material concern given the volume growth.</w:t>
            </w:r>
          </w:p>
        </w:tc>
      </w:tr>
    </w:tbl>
    <w:p>
      <w:pPr>
        <w:pStyle w:val="Heading3"/>
      </w:pPr>
      <w:r>
        <w:rPr>
          <w:rFonts w:ascii="Calibri" w:hAnsi="Calibri"/>
          <w:b/>
          <w:color w:val="3B4259"/>
          <w:sz w:val="24"/>
        </w:rPr>
        <w:t>M&amp;T Bank (MTB) — Q2 2026 Earnings (July 15,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MTB Commentary</w:t>
            </w:r>
          </w:p>
        </w:tc>
        <w:tc>
          <w:tcPr>
            <w:tcW w:type="dxa" w:w="2880"/>
            <w:shd w:val="clear" w:color="auto" w:fill="3B4259"/>
          </w:tcPr>
          <w:p>
            <w:r>
              <w:rPr>
                <w:rFonts w:ascii="Calibri" w:hAnsi="Calibri"/>
                <w:b/>
                <w:color w:val="FFFFFF"/>
                <w:sz w:val="22"/>
              </w:rPr>
              <w:t>TFC Read-Through</w:t>
            </w:r>
          </w:p>
        </w:tc>
      </w:tr>
      <w:tr>
        <w:tc>
          <w:tcPr>
            <w:tcW w:type="dxa" w:w="2880"/>
          </w:tcPr>
          <w:p>
            <w:r>
              <w:rPr>
                <w:rFonts w:ascii="Calibri" w:hAnsi="Calibri"/>
                <w:sz w:val="22"/>
              </w:rPr>
              <w:t>NII &amp; NIM</w:t>
            </w:r>
          </w:p>
        </w:tc>
        <w:tc>
          <w:tcPr>
            <w:tcW w:type="dxa" w:w="2880"/>
          </w:tcPr>
          <w:p>
            <w:r>
              <w:rPr>
                <w:rFonts w:ascii="Calibri" w:hAnsi="Calibri"/>
                <w:sz w:val="22"/>
              </w:rPr>
              <w:t>MTB reported Q2 2026 results on July 15, with NII performance reflecting the continued benefit of fixed-rate asset repricing and stable funding costs. MTB’s NIM trajectory showed sequential improvement consistent with the broader regional bank trend.</w:t>
            </w:r>
          </w:p>
        </w:tc>
        <w:tc>
          <w:tcPr>
            <w:tcW w:type="dxa" w:w="2880"/>
          </w:tcPr>
          <w:p>
            <w:r>
              <w:rPr>
                <w:rFonts w:ascii="Calibri" w:hAnsi="Calibri"/>
                <w:i/>
                <w:sz w:val="22"/>
              </w:rPr>
              <w:t>Positive: MTB’s NIM improvement is consistent with the regional bank repricing tailwind that TFC is also expected to benefit from in 2H 2026.</w:t>
            </w:r>
          </w:p>
        </w:tc>
      </w:tr>
      <w:tr>
        <w:tc>
          <w:tcPr>
            <w:tcW w:type="dxa" w:w="2880"/>
          </w:tcPr>
          <w:p>
            <w:r>
              <w:rPr>
                <w:rFonts w:ascii="Calibri" w:hAnsi="Calibri"/>
                <w:sz w:val="22"/>
              </w:rPr>
              <w:t>Credit Quality</w:t>
            </w:r>
          </w:p>
        </w:tc>
        <w:tc>
          <w:tcPr>
            <w:tcW w:type="dxa" w:w="2880"/>
          </w:tcPr>
          <w:p>
            <w:r>
              <w:rPr>
                <w:rFonts w:ascii="Calibri" w:hAnsi="Calibri"/>
                <w:sz w:val="22"/>
              </w:rPr>
              <w:t>MTB’s credit quality metrics remained stable in Q2 2026, with no material deterioration in NCO ratios or NPL trends. CRE credit quality, a key focus area for MTB, showed no signs of systemic stress.</w:t>
            </w:r>
          </w:p>
        </w:tc>
        <w:tc>
          <w:tcPr>
            <w:tcW w:type="dxa" w:w="2880"/>
          </w:tcPr>
          <w:p>
            <w:r>
              <w:rPr>
                <w:rFonts w:ascii="Calibri" w:hAnsi="Calibri"/>
                <w:i/>
                <w:sz w:val="22"/>
              </w:rPr>
              <w:t>Positive: MTB’s stable CRE credit quality is a positive read-through for TFC’s commercial real estate portfolio. No systemic credit deterioration signals from the regional bank peer group.</w:t>
            </w:r>
          </w:p>
        </w:tc>
      </w:tr>
      <w:tr>
        <w:tc>
          <w:tcPr>
            <w:tcW w:type="dxa" w:w="2880"/>
          </w:tcPr>
          <w:p>
            <w:r>
              <w:rPr>
                <w:rFonts w:ascii="Calibri" w:hAnsi="Calibri"/>
                <w:sz w:val="22"/>
              </w:rPr>
              <w:t>Loan Growth</w:t>
            </w:r>
          </w:p>
        </w:tc>
        <w:tc>
          <w:tcPr>
            <w:tcW w:type="dxa" w:w="2880"/>
          </w:tcPr>
          <w:p>
            <w:r>
              <w:rPr>
                <w:rFonts w:ascii="Calibri" w:hAnsi="Calibri"/>
                <w:sz w:val="22"/>
              </w:rPr>
              <w:t>MTB reported positive loan growth in Q2 2026, with commercial lending showing continued demand. Management expressed constructive views on the loan demand environment for the remainder of 2026.</w:t>
            </w:r>
          </w:p>
        </w:tc>
        <w:tc>
          <w:tcPr>
            <w:tcW w:type="dxa" w:w="2880"/>
          </w:tcPr>
          <w:p>
            <w:r>
              <w:rPr>
                <w:rFonts w:ascii="Calibri" w:hAnsi="Calibri"/>
                <w:i/>
                <w:sz w:val="22"/>
              </w:rPr>
              <w:t>Positive: MTB’s constructive loan demand outlook is consistent with TFC’s +3–4% loan growth guidance for FY26.</w:t>
            </w:r>
          </w:p>
        </w:tc>
      </w:tr>
    </w:tbl>
    <w:p>
      <w:pPr>
        <w:pStyle w:val="Heading3"/>
      </w:pPr>
      <w:r>
        <w:rPr>
          <w:rFonts w:ascii="Calibri" w:hAnsi="Calibri"/>
          <w:b/>
          <w:color w:val="3B4259"/>
          <w:sz w:val="24"/>
        </w:rPr>
        <w:t>Regional Bank Peers — Post-Q1 Conference Commentary (May–June 2026)</w:t>
      </w:r>
    </w:p>
    <w:p>
      <w:r>
        <w:rPr>
          <w:rFonts w:ascii="Calibri" w:hAnsi="Calibri"/>
          <w:color w:val="525866"/>
          <w:sz w:val="22"/>
        </w:rPr>
        <w:t>Several regional bank peers provided Q2 2026 forward-looking commentary at the Morgan Stanley U.S. Financials Conference (June 9–10, 2026) and Bernstein Strategic Decisions Conference (May 2026). Key read-throughs for TFC:</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Key Q2 2026 Commentary</w:t>
            </w:r>
          </w:p>
        </w:tc>
        <w:tc>
          <w:tcPr>
            <w:tcW w:type="dxa" w:w="2160"/>
            <w:shd w:val="clear" w:color="auto" w:fill="3B4259"/>
          </w:tcPr>
          <w:p>
            <w:r>
              <w:rPr>
                <w:rFonts w:ascii="Calibri" w:hAnsi="Calibri"/>
                <w:b/>
                <w:color w:val="FFFFFF"/>
                <w:sz w:val="22"/>
              </w:rPr>
              <w:t>TFC Read-Through</w:t>
            </w:r>
          </w:p>
        </w:tc>
      </w:tr>
      <w:tr>
        <w:tc>
          <w:tcPr>
            <w:tcW w:type="dxa" w:w="2160"/>
          </w:tcPr>
          <w:p>
            <w:r>
              <w:rPr>
                <w:rFonts w:ascii="Calibri" w:hAnsi="Calibri"/>
                <w:sz w:val="22"/>
              </w:rPr>
              <w:t>Regions Financial (RF)</w:t>
            </w:r>
          </w:p>
        </w:tc>
        <w:tc>
          <w:tcPr>
            <w:tcW w:type="dxa" w:w="2160"/>
          </w:tcPr>
          <w:p>
            <w:r>
              <w:rPr>
                <w:rFonts w:ascii="Calibri" w:hAnsi="Calibri"/>
                <w:sz w:val="22"/>
              </w:rPr>
              <w:t>Morgan Stanley Conference, June 9, 2026</w:t>
            </w:r>
          </w:p>
        </w:tc>
        <w:tc>
          <w:tcPr>
            <w:tcW w:type="dxa" w:w="2160"/>
          </w:tcPr>
          <w:p>
            <w:r>
              <w:rPr>
                <w:rFonts w:ascii="Calibri" w:hAnsi="Calibri"/>
                <w:sz w:val="22"/>
              </w:rPr>
              <w:t>RF management provided constructive commentary on Q2 NII trajectory, noting that fixed-rate asset repricing continues to support NIM expansion. Loan demand described as healthy across commercial categories. Credit quality stable with no systemic concerns flagged.</w:t>
            </w:r>
          </w:p>
        </w:tc>
        <w:tc>
          <w:tcPr>
            <w:tcW w:type="dxa" w:w="2160"/>
          </w:tcPr>
          <w:p>
            <w:r>
              <w:rPr>
                <w:rFonts w:ascii="Calibri" w:hAnsi="Calibri"/>
                <w:i/>
                <w:sz w:val="22"/>
              </w:rPr>
              <w:t>Positive: RF’s NIM expansion and stable credit commentary are consistent with TFC’s own 2H 2026 NIM expansion guidance.</w:t>
            </w:r>
          </w:p>
        </w:tc>
      </w:tr>
      <w:tr>
        <w:tc>
          <w:tcPr>
            <w:tcW w:type="dxa" w:w="2160"/>
          </w:tcPr>
          <w:p>
            <w:r>
              <w:rPr>
                <w:rFonts w:ascii="Calibri" w:hAnsi="Calibri"/>
                <w:sz w:val="22"/>
              </w:rPr>
              <w:t>KeyCorp (KEY)</w:t>
            </w:r>
          </w:p>
        </w:tc>
        <w:tc>
          <w:tcPr>
            <w:tcW w:type="dxa" w:w="2160"/>
          </w:tcPr>
          <w:p>
            <w:r>
              <w:rPr>
                <w:rFonts w:ascii="Calibri" w:hAnsi="Calibri"/>
                <w:sz w:val="22"/>
              </w:rPr>
              <w:t>Morgan Stanley Conference, June 10, 2026</w:t>
            </w:r>
          </w:p>
        </w:tc>
        <w:tc>
          <w:tcPr>
            <w:tcW w:type="dxa" w:w="2160"/>
          </w:tcPr>
          <w:p>
            <w:r>
              <w:rPr>
                <w:rFonts w:ascii="Calibri" w:hAnsi="Calibri"/>
                <w:sz w:val="22"/>
              </w:rPr>
              <w:t>KEY management highlighted continued NIM improvement driven by terminated swap tailwinds and fixed-rate repricing. Fee income momentum described as positive, with capital markets activity tracking above prior-year levels. Operating leverage expected to be positive for Q2.</w:t>
            </w:r>
          </w:p>
        </w:tc>
        <w:tc>
          <w:tcPr>
            <w:tcW w:type="dxa" w:w="2160"/>
          </w:tcPr>
          <w:p>
            <w:r>
              <w:rPr>
                <w:rFonts w:ascii="Calibri" w:hAnsi="Calibri"/>
                <w:i/>
                <w:sz w:val="22"/>
              </w:rPr>
              <w:t>Positive: KEY’s terminated swap tailwind and fee income momentum are directly analogous to TFC’s own drivers. Positive operating leverage confirmation is consistent with TFC’s 200+ bps target.</w:t>
            </w:r>
          </w:p>
        </w:tc>
      </w:tr>
      <w:tr>
        <w:tc>
          <w:tcPr>
            <w:tcW w:type="dxa" w:w="2160"/>
          </w:tcPr>
          <w:p>
            <w:r>
              <w:rPr>
                <w:rFonts w:ascii="Calibri" w:hAnsi="Calibri"/>
                <w:sz w:val="22"/>
              </w:rPr>
              <w:t>Fifth Third (FITB)</w:t>
            </w:r>
          </w:p>
        </w:tc>
        <w:tc>
          <w:tcPr>
            <w:tcW w:type="dxa" w:w="2160"/>
          </w:tcPr>
          <w:p>
            <w:r>
              <w:rPr>
                <w:rFonts w:ascii="Calibri" w:hAnsi="Calibri"/>
                <w:sz w:val="22"/>
              </w:rPr>
              <w:t>Morgan Stanley Conference, June 10, 2026</w:t>
            </w:r>
          </w:p>
        </w:tc>
        <w:tc>
          <w:tcPr>
            <w:tcW w:type="dxa" w:w="2160"/>
          </w:tcPr>
          <w:p>
            <w:r>
              <w:rPr>
                <w:rFonts w:ascii="Calibri" w:hAnsi="Calibri"/>
                <w:sz w:val="22"/>
              </w:rPr>
              <w:t>FITB management expressed confidence in Q2 NII and fee income trajectory. Loan growth described as broad-based. Credit quality stable. Management noted that the macro environment remains supportive of commercial lending activity.</w:t>
            </w:r>
          </w:p>
        </w:tc>
        <w:tc>
          <w:tcPr>
            <w:tcW w:type="dxa" w:w="2160"/>
          </w:tcPr>
          <w:p>
            <w:r>
              <w:rPr>
                <w:rFonts w:ascii="Calibri" w:hAnsi="Calibri"/>
                <w:i/>
                <w:sz w:val="22"/>
              </w:rPr>
              <w:t>Positive: FITB’s broad-based loan growth and stable credit commentary are consistent with TFC’s commercial loan growth narrative.</w:t>
            </w:r>
          </w:p>
        </w:tc>
      </w:tr>
      <w:tr>
        <w:tc>
          <w:tcPr>
            <w:tcW w:type="dxa" w:w="2160"/>
          </w:tcPr>
          <w:p>
            <w:r>
              <w:rPr>
                <w:rFonts w:ascii="Calibri" w:hAnsi="Calibri"/>
                <w:sz w:val="22"/>
              </w:rPr>
              <w:t>Huntington Bancshares (HBAN)</w:t>
            </w:r>
          </w:p>
        </w:tc>
        <w:tc>
          <w:tcPr>
            <w:tcW w:type="dxa" w:w="2160"/>
          </w:tcPr>
          <w:p>
            <w:r>
              <w:rPr>
                <w:rFonts w:ascii="Calibri" w:hAnsi="Calibri"/>
                <w:sz w:val="22"/>
              </w:rPr>
              <w:t>Bernstein Conference, May 28, 2026; Morgan Stanley Conference, June 9, 2026</w:t>
            </w:r>
          </w:p>
        </w:tc>
        <w:tc>
          <w:tcPr>
            <w:tcW w:type="dxa" w:w="2160"/>
          </w:tcPr>
          <w:p>
            <w:r>
              <w:rPr>
                <w:rFonts w:ascii="Calibri" w:hAnsi="Calibri"/>
                <w:sz w:val="22"/>
              </w:rPr>
              <w:t>HBAN management highlighted continued NIM expansion and positive operating leverage for Q2. Fee income momentum was described as strong, with capital markets activity above prior-year levels. Deposit growth tracking in line with guidance.</w:t>
            </w:r>
          </w:p>
        </w:tc>
        <w:tc>
          <w:tcPr>
            <w:tcW w:type="dxa" w:w="2160"/>
          </w:tcPr>
          <w:p>
            <w:r>
              <w:rPr>
                <w:rFonts w:ascii="Calibri" w:hAnsi="Calibri"/>
                <w:i/>
                <w:sz w:val="22"/>
              </w:rPr>
              <w:t>Positive: HBAN’s NIM expansion and fee income momentum are consistent with the broader regional bank read-through for TFC.</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and not directionally meaningful — the only recorded transaction is a small share disposition by the Chief Risk Officer, likely related to tax withholding on a vesting event.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Insider</w:t>
            </w:r>
          </w:p>
        </w:tc>
        <w:tc>
          <w:tcPr>
            <w:tcW w:type="dxa" w:w="960"/>
            <w:shd w:val="clear" w:color="auto" w:fill="3B4259"/>
          </w:tcPr>
          <w:p>
            <w:r>
              <w:rPr>
                <w:rFonts w:ascii="Calibri" w:hAnsi="Calibri"/>
                <w:b/>
                <w:color w:val="FFFFFF"/>
                <w:sz w:val="22"/>
              </w:rPr>
              <w:t>Role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Security</w:t>
            </w:r>
          </w:p>
        </w:tc>
        <w:tc>
          <w:tcPr>
            <w:tcW w:type="dxa" w:w="960"/>
            <w:shd w:val="clear" w:color="auto" w:fill="3B4259"/>
          </w:tcPr>
          <w:p>
            <w:r>
              <w:rPr>
                <w:rFonts w:ascii="Calibri" w:hAnsi="Calibri"/>
                <w:b/>
                <w:color w:val="FFFFFF"/>
                <w:sz w:val="22"/>
              </w:rPr>
              <w:t>10b5-1 Plan?</w:t>
            </w:r>
          </w:p>
        </w:tc>
        <w:tc>
          <w:tcPr>
            <w:tcW w:type="dxa" w:w="960"/>
            <w:shd w:val="clear" w:color="auto" w:fill="3B4259"/>
          </w:tcPr>
          <w:p>
            <w:r>
              <w:rPr>
                <w:rFonts w:ascii="Calibri" w:hAnsi="Calibri"/>
                <w:b/>
                <w:color w:val="FFFFFF"/>
                <w:sz w:val="22"/>
              </w:rPr>
              <w:t>Shares Owned After</w:t>
            </w:r>
          </w:p>
        </w:tc>
      </w:tr>
      <w:tr>
        <w:tc>
          <w:tcPr>
            <w:tcW w:type="dxa" w:w="960"/>
          </w:tcPr>
          <w:p>
            <w:r>
              <w:rPr>
                <w:rFonts w:ascii="Calibri" w:hAnsi="Calibri"/>
                <w:sz w:val="22"/>
              </w:rPr>
              <w:t>Bradley D. Bender</w:t>
            </w:r>
          </w:p>
        </w:tc>
        <w:tc>
          <w:tcPr>
            <w:tcW w:type="dxa" w:w="960"/>
          </w:tcPr>
          <w:p>
            <w:r>
              <w:rPr>
                <w:rFonts w:ascii="Calibri" w:hAnsi="Calibri"/>
                <w:sz w:val="22"/>
              </w:rPr>
              <w:t>Chief Risk Officer</w:t>
            </w:r>
          </w:p>
        </w:tc>
        <w:tc>
          <w:tcPr>
            <w:tcW w:type="dxa" w:w="960"/>
          </w:tcPr>
          <w:p>
            <w:r>
              <w:rPr>
                <w:rFonts w:ascii="Calibri" w:hAnsi="Calibri"/>
                <w:sz w:val="22"/>
              </w:rPr>
              <w:t>June 1, 2026</w:t>
            </w:r>
          </w:p>
        </w:tc>
        <w:tc>
          <w:tcPr>
            <w:tcW w:type="dxa" w:w="960"/>
          </w:tcPr>
          <w:p>
            <w:r>
              <w:rPr>
                <w:rFonts w:ascii="Calibri" w:hAnsi="Calibri"/>
                <w:sz w:val="22"/>
              </w:rPr>
              <w:t>June 3, 2026</w:t>
            </w:r>
          </w:p>
        </w:tc>
        <w:tc>
          <w:tcPr>
            <w:tcW w:type="dxa" w:w="960"/>
          </w:tcPr>
          <w:p>
            <w:r>
              <w:rPr>
                <w:rFonts w:ascii="Calibri" w:hAnsi="Calibri"/>
                <w:sz w:val="22"/>
              </w:rPr>
              <w:t>Disposition (F — Tax Withholding)</w:t>
            </w:r>
          </w:p>
        </w:tc>
        <w:tc>
          <w:tcPr>
            <w:tcW w:type="dxa" w:w="960"/>
          </w:tcPr>
          <w:p>
            <w:r>
              <w:rPr>
                <w:rFonts w:ascii="Calibri" w:hAnsi="Calibri"/>
                <w:sz w:val="22"/>
              </w:rPr>
              <w:t>9,115</w:t>
            </w:r>
          </w:p>
        </w:tc>
        <w:tc>
          <w:tcPr>
            <w:tcW w:type="dxa" w:w="960"/>
          </w:tcPr>
          <w:p>
            <w:r>
              <w:rPr>
                <w:rFonts w:ascii="Calibri" w:hAnsi="Calibri"/>
                <w:sz w:val="22"/>
              </w:rPr>
              <w:t>Common Stock</w:t>
            </w:r>
          </w:p>
        </w:tc>
        <w:tc>
          <w:tcPr>
            <w:tcW w:type="dxa" w:w="960"/>
          </w:tcPr>
          <w:p>
            <w:r>
              <w:rPr>
                <w:rFonts w:ascii="Calibri" w:hAnsi="Calibri"/>
                <w:sz w:val="22"/>
              </w:rPr>
              <w:t>No</w:t>
            </w:r>
          </w:p>
        </w:tc>
        <w:tc>
          <w:tcPr>
            <w:tcW w:type="dxa" w:w="960"/>
          </w:tcPr>
          <w:p>
            <w:r>
              <w:rPr>
                <w:rFonts w:ascii="Calibri" w:hAnsi="Calibri"/>
                <w:sz w:val="22"/>
              </w:rPr>
              <w:t>12,781</w:t>
            </w:r>
          </w:p>
        </w:tc>
      </w:tr>
    </w:tbl>
    <w:p>
      <w:r>
        <w:rPr>
          <w:rFonts w:ascii="Calibri" w:hAnsi="Calibri"/>
          <w:color w:val="525866"/>
          <w:sz w:val="22"/>
        </w:rPr>
        <w:t>The transaction code “F” indicates a disposition for tax withholding purposes upon the vesting of restricted stock units — this is a routine, non-discretionary transaction and carries no directional signal. No open-market purchases or discretionary sales by TFC insiders were recorded in the April 17 – July 16, 2026 window. The absence of insider buying is not unusual given the CEO succession announcement on June 15 and the associated blackout period considerations.</w:t>
      </w:r>
    </w:p>
    <w:p>
      <w:r>
        <w:rPr>
          <w:rFonts w:ascii="Calibri" w:hAnsi="Calibri"/>
          <w:i/>
          <w:color w:val="525866"/>
          <w:sz w:val="22"/>
        </w:rPr>
        <w:t>Source: Insider Transaction Data (SEC Form 4 Filing — Bender Bradley D, TFC, filed June 3, 2026).</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CEO Succession Risk: </w:t>
      </w:r>
      <w:r>
        <w:rPr>
          <w:rFonts w:ascii="Calibri" w:hAnsi="Calibri"/>
          <w:color w:val="525866"/>
          <w:sz w:val="22"/>
        </w:rPr>
        <w:t>Incoming CEO Michael Lyons (effective September 1, 2026) may signal strategic changes on the Q2 call. Any deviation from the ROTCE roadmap or capital return strategy could be a negative catalyst. Conversely, a strong endorsement of continuity could be a re-rating catalyst.</w:t>
      </w:r>
    </w:p>
    <w:p>
      <w:pPr>
        <w:pStyle w:val="ListBullet"/>
        <w:ind w:left="360" w:hanging="360"/>
      </w:pPr>
      <w:r>
        <w:rPr>
          <w:rFonts w:ascii="Calibri" w:hAnsi="Calibri"/>
          <w:b/>
          <w:color w:val="525866"/>
          <w:sz w:val="22"/>
        </w:rPr>
        <w:t xml:space="preserve">NII Sensitivity to Rate Path: </w:t>
      </w:r>
      <w:r>
        <w:rPr>
          <w:rFonts w:ascii="Calibri" w:hAnsi="Calibri"/>
          <w:color w:val="525866"/>
          <w:sz w:val="22"/>
        </w:rPr>
        <w:t>TFC’s NII guidance assumes no Fed rate cuts in 2026. If the forward curve shifts to price in cuts (currently pricing a 125 bps hike in September per BAC’s commentary), TFC’s NII trajectory could be impacted. The banking book is asset-sensitive, so rate hikes would be a net positive.</w:t>
      </w:r>
    </w:p>
    <w:p>
      <w:pPr>
        <w:pStyle w:val="ListBullet"/>
        <w:ind w:left="360" w:hanging="360"/>
      </w:pPr>
      <w:r>
        <w:rPr>
          <w:rFonts w:ascii="Calibri" w:hAnsi="Calibri"/>
          <w:b/>
          <w:color w:val="525866"/>
          <w:sz w:val="22"/>
        </w:rPr>
        <w:t xml:space="preserve">IB &amp; Trading Volatility: </w:t>
      </w:r>
      <w:r>
        <w:rPr>
          <w:rFonts w:ascii="Calibri" w:hAnsi="Calibri"/>
          <w:color w:val="525866"/>
          <w:sz w:val="22"/>
        </w:rPr>
        <w:t>Investment banking and trading revenue is inherently lumpy. While Q1 2026 was the highest quarterly result since 2021 and peer read-through is positive for Q2, any quarter-to-quarter normalization could disappoint if consensus has embedded too much IB upside.</w:t>
      </w:r>
    </w:p>
    <w:p>
      <w:pPr>
        <w:pStyle w:val="ListBullet"/>
        <w:ind w:left="360" w:hanging="360"/>
      </w:pPr>
      <w:r>
        <w:rPr>
          <w:rFonts w:ascii="Calibri" w:hAnsi="Calibri"/>
          <w:b/>
          <w:color w:val="525866"/>
          <w:sz w:val="22"/>
        </w:rPr>
        <w:t xml:space="preserve">Credit Quality Normalization: </w:t>
      </w:r>
      <w:r>
        <w:rPr>
          <w:rFonts w:ascii="Calibri" w:hAnsi="Calibri"/>
          <w:color w:val="525866"/>
          <w:sz w:val="22"/>
        </w:rPr>
        <w:t>TFC’s NCO ratio ticked up to 0.60% in Q1 2026 from 0.51% in Q2 2025. While consensus expects improvement to 0.55% in Q2, any deterioration in specialty consumer lending (Sheffield, Service Finance, LightStream) or commercial credit could be a negative surprise.</w:t>
      </w:r>
    </w:p>
    <w:p>
      <w:pPr>
        <w:pStyle w:val="ListBullet"/>
        <w:ind w:left="360" w:hanging="360"/>
      </w:pPr>
      <w:r>
        <w:rPr>
          <w:rFonts w:ascii="Calibri" w:hAnsi="Calibri"/>
          <w:b/>
          <w:color w:val="525866"/>
          <w:sz w:val="22"/>
        </w:rPr>
        <w:t xml:space="preserve">Deposit Competition: </w:t>
      </w:r>
      <w:r>
        <w:rPr>
          <w:rFonts w:ascii="Calibri" w:hAnsi="Calibri"/>
          <w:color w:val="525866"/>
          <w:sz w:val="22"/>
        </w:rPr>
        <w:t>While peers have dismissed stablecoin/AI deposit disruption concerns, deposit pricing competition remains elevated. Any acceleration in deposit cost increases could compress NIM beyond the “relatively stable” Q2 guidance.</w:t>
      </w:r>
    </w:p>
    <w:p>
      <w:pPr>
        <w:pStyle w:val="ListBullet"/>
        <w:ind w:left="360" w:hanging="360"/>
      </w:pPr>
      <w:r>
        <w:rPr>
          <w:rFonts w:ascii="Calibri" w:hAnsi="Calibri"/>
          <w:b/>
          <w:color w:val="525866"/>
          <w:sz w:val="22"/>
        </w:rPr>
        <w:t xml:space="preserve">Capital Return Execution: </w:t>
      </w:r>
      <w:r>
        <w:rPr>
          <w:rFonts w:ascii="Calibri" w:hAnsi="Calibri"/>
          <w:color w:val="525866"/>
          <w:sz w:val="22"/>
        </w:rPr>
        <w:t>TFC is targeting $5B in share repurchases in 2026 (raised from $4B). Execution of this target is a key EPS accretion driver. Any slowdown in buyback pace due to capital constraints or regulatory changes could be a negative.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