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TRV (The Travelers Companies) before writing the preview. Let me gather recent earnings, filings, and news.I'll read the most recent earnings release and call, plus the year-ago Q2 for comparison.Now let me get the year-ago Q2 2025 earnings release for comparison, recent news, and stock price performance.Let me check recent news and analyst estimates for Q2 2026.Let me get more detail on consensus estimates and the reinsurance program change.I have what I need. Here's the earnings preview.</w:t>
      </w:r>
    </w:p>
    <w:p>
      <w:r>
        <w:pict>
          <v:rect style="width:0;height:1.5pt" o:hralign="center" o:hrstd="t" o:hr="t"/>
        </w:pict>
      </w:r>
    </w:p>
    <w:bookmarkStart w:id="16" w:name="travelers-trv--q2-2026-earnings-preview"/>
    <w:p>
      <w:pPr>
        <w:pStyle w:val="Heading1"/>
      </w:pPr>
      <w:r>
        <w:t xml:space="preserve">Travelers (TRV) — Q2 2026 Earnings Preview</w:t>
      </w:r>
    </w:p>
    <w:bookmarkStart w:id="9" w:name="X72bafd5fc57f9a04cc3be19ec06157ecf134570"/>
    <w:p>
      <w:pPr>
        <w:pStyle w:val="Heading3"/>
      </w:pPr>
      <w:r>
        <w:t xml:space="preserve">Reports Friday, July 17, 2026 (before the open); call to follow</w:t>
      </w:r>
    </w:p>
    <w:bookmarkEnd w:id="9"/>
    <w:bookmarkStart w:id="10" w:name="the-setup"/>
    <w:p>
      <w:pPr>
        <w:pStyle w:val="Heading2"/>
      </w:pPr>
      <w:r>
        <w:t xml:space="preserve">The setup</w:t>
      </w:r>
    </w:p>
    <w:p>
      <w:pPr>
        <w:pStyle w:val="FirstParagraph"/>
      </w:pPr>
      <w:r>
        <w:t xml:space="preserve">Travelers kicks off P&amp;C earnings season and is treated as the industry bellwether — it reports before peers and its commentary on pricing, loss trends, and weather sets the tone for the group. The stock heads into the print near all-time highs: TRV has climbed from ~</w:t>
      </w:r>
      <m:oMath>
        <m:r>
          <m:t>285</m:t>
        </m:r>
        <m:r>
          <m:t>a</m:t>
        </m:r>
        <m:r>
          <m:t>t</m:t>
        </m:r>
        <m:r>
          <m:t>t</m:t>
        </m:r>
        <m:r>
          <m:t>h</m:t>
        </m:r>
        <m:r>
          <m:t>e</m:t>
        </m:r>
        <m:r>
          <m:t>s</m:t>
        </m:r>
        <m:r>
          <m:t>t</m:t>
        </m:r>
        <m:r>
          <m:t>a</m:t>
        </m:r>
        <m:r>
          <m:t>r</m:t>
        </m:r>
        <m:r>
          <m:t>t</m:t>
        </m:r>
        <m:r>
          <m:t>o</m:t>
        </m:r>
        <m:r>
          <m:t>f</m:t>
        </m:r>
        <m:r>
          <m:t>J</m:t>
        </m:r>
        <m:r>
          <m:t>a</m:t>
        </m:r>
        <m:r>
          <m:t>n</m:t>
        </m:r>
        <m:r>
          <m:t>u</m:t>
        </m:r>
        <m:r>
          <m:t>a</m:t>
        </m:r>
        <m:r>
          <m:t>r</m:t>
        </m:r>
        <m:r>
          <m:t>y</m:t>
        </m:r>
        <m:r>
          <m:t>t</m:t>
        </m:r>
        <m:r>
          <m:t>o</m:t>
        </m:r>
        <m:r>
          <m:t> </m:t>
        </m:r>
      </m:oMath>
      <w:r>
        <w:t xml:space="preserve">338 on July 16, roughly +18% year-to-date, tracking alongside Chubb and outperforming the broader tape. That rally raises the bar — a lot of good news is arguably priced in.</w:t>
      </w:r>
    </w:p>
    <w:bookmarkEnd w:id="10"/>
    <w:bookmarkStart w:id="11" w:name="what-the-street-expects"/>
    <w:p>
      <w:pPr>
        <w:pStyle w:val="Heading2"/>
      </w:pPr>
      <w:r>
        <w:t xml:space="preserve">What the Street expects</w:t>
      </w:r>
    </w:p>
    <w:p>
      <w:pPr>
        <w:pStyle w:val="Compact"/>
        <w:numPr>
          <w:ilvl w:val="0"/>
          <w:numId w:val="1001"/>
        </w:numPr>
      </w:pPr>
      <w:r>
        <w:rPr>
          <w:b/>
          <w:bCs/>
        </w:rPr>
        <w:t xml:space="preserve">EPS:</w:t>
      </w:r>
      <w:r>
        <w:t xml:space="preserve"> </w:t>
      </w:r>
      <w:r>
        <w:t xml:space="preserve">Consensus sits in the low-</w:t>
      </w:r>
      <m:oMath>
        <m:r>
          <m:t>5</m:t>
        </m:r>
        <m:r>
          <m:t>s</m:t>
        </m:r>
        <m:r>
          <m:rPr>
            <m:sty m:val="p"/>
          </m:rPr>
          <m:t>.</m:t>
        </m:r>
        <m:r>
          <m:t>Z</m:t>
        </m:r>
        <m:r>
          <m:t>a</m:t>
        </m:r>
        <m:r>
          <m:t>c</m:t>
        </m:r>
        <m:r>
          <m:t>k</m:t>
        </m:r>
        <m:r>
          <m:t>s</m:t>
        </m:r>
        <m:r>
          <m:t>p</m:t>
        </m:r>
        <m:r>
          <m:t>e</m:t>
        </m:r>
        <m:r>
          <m:t>g</m:t>
        </m:r>
        <m:r>
          <m:t>s</m:t>
        </m:r>
        <m:r>
          <m:t>c</m:t>
        </m:r>
        <m:r>
          <m:t>o</m:t>
        </m:r>
        <m:r>
          <m:t>r</m:t>
        </m:r>
        <m:r>
          <m:t>e</m:t>
        </m:r>
        <m:r>
          <m:t>E</m:t>
        </m:r>
        <m:r>
          <m:t>P</m:t>
        </m:r>
        <m:r>
          <m:t>S</m:t>
        </m:r>
        <m:r>
          <m:t>a</m:t>
        </m:r>
        <m:r>
          <m:t>r</m:t>
        </m:r>
        <m:r>
          <m:t>o</m:t>
        </m:r>
        <m:r>
          <m:t>u</m:t>
        </m:r>
        <m:r>
          <m:t>n</m:t>
        </m:r>
        <m:r>
          <m:t>d</m:t>
        </m:r>
        <m:r>
          <m:rPr>
            <m:sty m:val="p"/>
          </m:rPr>
          <m:t>*</m:t>
        </m:r>
        <m:r>
          <m:rPr>
            <m:sty m:val="p"/>
          </m:rPr>
          <m:t>*</m:t>
        </m:r>
      </m:oMath>
      <w:r>
        <w:t xml:space="preserve">5.14** (implying a ~21% year-over-year</w:t>
      </w:r>
      <w:r>
        <w:t xml:space="preserve"> </w:t>
      </w:r>
      <w:r>
        <w:rPr>
          <w:i/>
          <w:iCs/>
        </w:rPr>
        <w:t xml:space="preserve">decline</w:t>
      </w:r>
      <w:r>
        <w:t xml:space="preserve">); a broader 24-analyst compilation centers near **</w:t>
      </w:r>
      <m:oMath>
        <m:r>
          <m:t>5.33</m:t>
        </m:r>
        <m:r>
          <m:rPr>
            <m:sty m:val="p"/>
          </m:rPr>
          <m:t>*</m:t>
        </m:r>
        <m:r>
          <m:rPr>
            <m:sty m:val="p"/>
          </m:rPr>
          <m:t>*</m:t>
        </m:r>
        <m:r>
          <m:rPr>
            <m:sty m:val="p"/>
          </m:rPr>
          <m:t>,</m:t>
        </m:r>
        <m:r>
          <m:t>w</m:t>
        </m:r>
        <m:r>
          <m:t>i</m:t>
        </m:r>
        <m:r>
          <m:t>t</m:t>
        </m:r>
        <m:r>
          <m:t>h</m:t>
        </m:r>
        <m:r>
          <m:t>a</m:t>
        </m:r>
        <m:r>
          <m:t>n</m:t>
        </m:r>
        <m:r>
          <m:t>u</m:t>
        </m:r>
        <m:r>
          <m:t>n</m:t>
        </m:r>
        <m:r>
          <m:t>u</m:t>
        </m:r>
        <m:r>
          <m:t>s</m:t>
        </m:r>
        <m:r>
          <m:t>u</m:t>
        </m:r>
        <m:r>
          <m:t>a</m:t>
        </m:r>
        <m:r>
          <m:t>l</m:t>
        </m:r>
        <m:r>
          <m:t>l</m:t>
        </m:r>
        <m:r>
          <m:t>y</m:t>
        </m:r>
        <m:r>
          <m:t>w</m:t>
        </m:r>
        <m:r>
          <m:t>i</m:t>
        </m:r>
        <m:r>
          <m:t>d</m:t>
        </m:r>
        <m:r>
          <m:t>e</m:t>
        </m:r>
        <m:r>
          <m:t>r</m:t>
        </m:r>
        <m:r>
          <m:t>a</m:t>
        </m:r>
        <m:r>
          <m:t>n</m:t>
        </m:r>
        <m:r>
          <m:t>g</m:t>
        </m:r>
        <m:r>
          <m:t>e</m:t>
        </m:r>
        <m:r>
          <m:rPr>
            <m:sty m:val="p"/>
          </m:rPr>
          <m:t>(</m:t>
        </m:r>
        <m:r>
          <m:t> </m:t>
        </m:r>
      </m:oMath>
      <w:r>
        <w:t xml:space="preserve">4.17 to $7.37) — a sign that catastrophe-loss assumptions are the swing factor.</w:t>
      </w:r>
    </w:p>
    <w:p>
      <w:pPr>
        <w:pStyle w:val="Compact"/>
        <w:numPr>
          <w:ilvl w:val="0"/>
          <w:numId w:val="1001"/>
        </w:numPr>
      </w:pPr>
      <w:r>
        <w:rPr>
          <w:b/>
          <w:bCs/>
        </w:rPr>
        <w:t xml:space="preserve">Revenue:</w:t>
      </w:r>
      <w:r>
        <w:t xml:space="preserve"> </w:t>
      </w:r>
      <w:r>
        <w:t xml:space="preserve">Roughly</w:t>
      </w:r>
      <w:r>
        <w:t xml:space="preserve"> </w:t>
      </w:r>
      <w:r>
        <w:rPr>
          <w:b/>
          <w:bCs/>
        </w:rPr>
        <w:t xml:space="preserve">$11–12 billion</w:t>
      </w:r>
      <w:r>
        <w:t xml:space="preserve">, with estimates clustered tightly, reflecting confidence in the top line but uncertainty on the bottom line.</w:t>
      </w:r>
    </w:p>
    <w:p>
      <w:pPr>
        <w:pStyle w:val="Compact"/>
        <w:numPr>
          <w:ilvl w:val="0"/>
          <w:numId w:val="1001"/>
        </w:numPr>
      </w:pPr>
      <w:r>
        <w:t xml:space="preserve">Travelers has a recent habit of beating: last quarter it delivered</w:t>
      </w:r>
      <w:r>
        <w:t xml:space="preserve"> </w:t>
      </w:r>
      <w:r>
        <w:rPr>
          <w:b/>
          <w:bCs/>
        </w:rPr>
        <w:t xml:space="preserve">$7.71</w:t>
      </w:r>
      <w:r>
        <w:t xml:space="preserve"> </w:t>
      </w:r>
      <w:r>
        <w:t xml:space="preserve">vs. a $6.98 consensus (a ~10% beat).</w:t>
      </w:r>
    </w:p>
    <w:bookmarkEnd w:id="11"/>
    <w:bookmarkStart w:id="12" w:name="X5b88c03241317005617eff13eda2e47e2780cd6"/>
    <w:p>
      <w:pPr>
        <w:pStyle w:val="Heading2"/>
      </w:pPr>
      <w:r>
        <w:t xml:space="preserve">Why EPS is expected to fall year-over-year (despite strong fundamentals)</w:t>
      </w:r>
    </w:p>
    <w:p>
      <w:pPr>
        <w:pStyle w:val="FirstParagraph"/>
      </w:pPr>
      <w:r>
        <w:t xml:space="preserve">The projected decline is a comparison and structural story, not a deterioration in the business:</w:t>
      </w:r>
    </w:p>
    <w:p>
      <w:pPr>
        <w:pStyle w:val="Compact"/>
        <w:numPr>
          <w:ilvl w:val="0"/>
          <w:numId w:val="1002"/>
        </w:numPr>
      </w:pPr>
      <w:r>
        <w:rPr>
          <w:b/>
          <w:bCs/>
        </w:rPr>
        <w:t xml:space="preserve">Easy-to-hard cat comparison.</w:t>
      </w:r>
      <w:r>
        <w:t xml:space="preserve"> </w:t>
      </w:r>
      <w:r>
        <w:t xml:space="preserve">Q2 2025 benefited from unusually light weather — cat losses of just</w:t>
      </w:r>
      <w:r>
        <w:t xml:space="preserve"> </w:t>
      </w:r>
      <w:r>
        <w:rPr>
          <w:b/>
          <w:bCs/>
        </w:rPr>
        <w:t xml:space="preserve">$927M pre-tax</w:t>
      </w:r>
      <w:r>
        <w:t xml:space="preserve">, helping produce a 90.3% combined ratio and $6.51 core EPS. Q2 is</w:t>
      </w:r>
      <w:r>
        <w:t xml:space="preserve"> </w:t>
      </w:r>
      <w:r>
        <w:rPr>
          <w:i/>
          <w:iCs/>
        </w:rPr>
        <w:t xml:space="preserve">seasonally</w:t>
      </w:r>
      <w:r>
        <w:t xml:space="preserve"> </w:t>
      </w:r>
      <w:r>
        <w:t xml:space="preserve">the heaviest catastrophe quarter (spring/summer wind, hail, tornado, early-season storms), so a normalization higher would compress margins.</w:t>
      </w:r>
    </w:p>
    <w:p>
      <w:pPr>
        <w:pStyle w:val="Compact"/>
        <w:numPr>
          <w:ilvl w:val="0"/>
          <w:numId w:val="1002"/>
        </w:numPr>
      </w:pPr>
      <w:r>
        <w:rPr>
          <w:b/>
          <w:bCs/>
        </w:rPr>
        <w:t xml:space="preserve">More reinsurance ceded.</w:t>
      </w:r>
      <w:r>
        <w:t xml:space="preserve"> </w:t>
      </w:r>
      <w:r>
        <w:t xml:space="preserve">Travelers restructured its 2026 catastrophe program, lowering the attachment/retention to **$3B from</w:t>
      </w:r>
      <w:r>
        <w:t xml:space="preserve"> </w:t>
      </w:r>
      <m:oMath>
        <m:r>
          <m:t>4</m:t>
        </m:r>
        <m:r>
          <m:t>B</m:t>
        </m:r>
        <m:r>
          <m:rPr>
            <m:sty m:val="p"/>
          </m:rPr>
          <m:t>*</m:t>
        </m:r>
        <m:r>
          <m:rPr>
            <m:sty m:val="p"/>
          </m:rPr>
          <m:t>*</m:t>
        </m:r>
        <m:r>
          <m:t>a</m:t>
        </m:r>
        <m:r>
          <m:t>n</m:t>
        </m:r>
        <m:r>
          <m:t>d</m:t>
        </m:r>
        <m:r>
          <m:t>a</m:t>
        </m:r>
        <m:r>
          <m:t>d</m:t>
        </m:r>
        <m:r>
          <m:t>d</m:t>
        </m:r>
        <m:r>
          <m:t>i</m:t>
        </m:r>
        <m:r>
          <m:t>n</m:t>
        </m:r>
        <m:r>
          <m:t>g</m:t>
        </m:r>
        <m:r>
          <m:t>a</m:t>
        </m:r>
        <m:r>
          <m:t>n</m:t>
        </m:r>
        <m:r>
          <m:t>e</m:t>
        </m:r>
        <m:r>
          <m:t>w</m:t>
        </m:r>
        <m:r>
          <m:t> </m:t>
        </m:r>
      </m:oMath>
      <w:r>
        <w:t xml:space="preserve">1B lower layer. Better protection, but it means higher ceded premium and a modest drag on net written premium and net margin.</w:t>
      </w:r>
    </w:p>
    <w:p>
      <w:pPr>
        <w:pStyle w:val="Compact"/>
        <w:numPr>
          <w:ilvl w:val="0"/>
          <w:numId w:val="1002"/>
        </w:numPr>
      </w:pPr>
      <w:r>
        <w:rPr>
          <w:b/>
          <w:bCs/>
        </w:rPr>
        <w:t xml:space="preserve">Alternative-investment lag.</w:t>
      </w:r>
      <w:r>
        <w:t xml:space="preserve"> </w:t>
      </w:r>
      <w:r>
        <w:t xml:space="preserve">CFO Dan Frey flagged on the Q1 call that private equity/hedge fund/real estate returns are reported on a one-quarter lag, so the</w:t>
      </w:r>
      <w:r>
        <w:t xml:space="preserve"> </w:t>
      </w:r>
      <w:r>
        <w:rPr>
          <w:b/>
          <w:bCs/>
        </w:rPr>
        <w:t xml:space="preserve">Q1 2026 market decline flows into Q2 2026</w:t>
      </w:r>
      <w:r>
        <w:t xml:space="preserve"> </w:t>
      </w:r>
      <w:r>
        <w:t xml:space="preserve">alt-investment income.</w:t>
      </w:r>
    </w:p>
    <w:p>
      <w:pPr>
        <w:pStyle w:val="Compact"/>
        <w:numPr>
          <w:ilvl w:val="0"/>
          <w:numId w:val="1002"/>
        </w:numPr>
      </w:pPr>
      <w:r>
        <w:rPr>
          <w:b/>
          <w:bCs/>
        </w:rPr>
        <w:t xml:space="preserve">Canada divestiture.</w:t>
      </w:r>
      <w:r>
        <w:t xml:space="preserve"> </w:t>
      </w:r>
      <w:r>
        <w:t xml:space="preserve">The sale of most Canadian operations (closed Jan 2, 2026) trims consolidated written and earned premium growth by ~2 points each quarter this year.</w:t>
      </w:r>
    </w:p>
    <w:bookmarkEnd w:id="12"/>
    <w:bookmarkStart w:id="13" w:name="Xbe2865509a1a8c5752526e5965ac911936bb8e8"/>
    <w:p>
      <w:pPr>
        <w:pStyle w:val="Heading2"/>
      </w:pPr>
      <w:r>
        <w:t xml:space="preserve">What's going well (the durable earnings-power story)</w:t>
      </w:r>
    </w:p>
    <w:p>
      <w:pPr>
        <w:pStyle w:val="Compact"/>
        <w:numPr>
          <w:ilvl w:val="0"/>
          <w:numId w:val="1003"/>
        </w:numPr>
      </w:pPr>
      <w:r>
        <w:rPr>
          <w:b/>
          <w:bCs/>
        </w:rPr>
        <w:t xml:space="preserve">Underlying underwriting momentum:</w:t>
      </w:r>
      <w:r>
        <w:t xml:space="preserve"> </w:t>
      </w:r>
      <w:r>
        <w:t xml:space="preserve">Q1 2026 marked the</w:t>
      </w:r>
      <w:r>
        <w:t xml:space="preserve"> </w:t>
      </w:r>
      <w:r>
        <w:rPr>
          <w:b/>
          <w:bCs/>
        </w:rPr>
        <w:t xml:space="preserve">seventh straight quarter of &gt;$1B after-tax underlying underwriting income</w:t>
      </w:r>
      <w:r>
        <w:t xml:space="preserve">, with an excellent 85.3% underlying combined ratio and a 19.7% core ROE (22.7% trailing-twelve-month).</w:t>
      </w:r>
    </w:p>
    <w:p>
      <w:pPr>
        <w:pStyle w:val="Compact"/>
        <w:numPr>
          <w:ilvl w:val="0"/>
          <w:numId w:val="1003"/>
        </w:numPr>
      </w:pPr>
      <w:r>
        <w:rPr>
          <w:b/>
          <w:bCs/>
        </w:rPr>
        <w:t xml:space="preserve">Business Insurance:</w:t>
      </w:r>
      <w:r>
        <w:t xml:space="preserve"> </w:t>
      </w:r>
      <w:r>
        <w:t xml:space="preserve">14 consecutive quarters with an underlying combined ratio below 90%; record new business; retention a strong 86%.</w:t>
      </w:r>
    </w:p>
    <w:p>
      <w:pPr>
        <w:pStyle w:val="Compact"/>
        <w:numPr>
          <w:ilvl w:val="0"/>
          <w:numId w:val="1003"/>
        </w:numPr>
      </w:pPr>
      <w:r>
        <w:rPr>
          <w:b/>
          <w:bCs/>
        </w:rPr>
        <w:t xml:space="preserve">Personal Insurance inflection:</w:t>
      </w:r>
      <w:r>
        <w:t xml:space="preserve"> </w:t>
      </w:r>
      <w:r>
        <w:t xml:space="preserve">Management says the multi-year property remediation is "largely behind us," with early growth re-emerging in both auto and home while margins remain excellent.</w:t>
      </w:r>
    </w:p>
    <w:p>
      <w:pPr>
        <w:pStyle w:val="Compact"/>
        <w:numPr>
          <w:ilvl w:val="0"/>
          <w:numId w:val="1003"/>
        </w:numPr>
      </w:pPr>
      <w:r>
        <w:rPr>
          <w:b/>
          <w:bCs/>
        </w:rPr>
        <w:t xml:space="preserve">Bond &amp; Specialty:</w:t>
      </w:r>
      <w:r>
        <w:t xml:space="preserve"> </w:t>
      </w:r>
      <w:r>
        <w:t xml:space="preserve">Surety grew 14% last quarter, benefiting from infrastructure spending; management liability pricing firming.</w:t>
      </w:r>
    </w:p>
    <w:p>
      <w:pPr>
        <w:pStyle w:val="Compact"/>
        <w:numPr>
          <w:ilvl w:val="0"/>
          <w:numId w:val="1003"/>
        </w:numPr>
      </w:pPr>
      <w:r>
        <w:rPr>
          <w:b/>
          <w:bCs/>
        </w:rPr>
        <w:t xml:space="preserve">Investment income tailwind:</w:t>
      </w:r>
      <w:r>
        <w:t xml:space="preserve"> </w:t>
      </w:r>
      <w:r>
        <w:t xml:space="preserve">Fixed-income NII keeps ratcheting up on higher yields and a growing asset base — guided to</w:t>
      </w:r>
      <w:r>
        <w:t xml:space="preserve"> </w:t>
      </w:r>
      <w:r>
        <w:rPr>
          <w:b/>
          <w:bCs/>
        </w:rPr>
        <w:t xml:space="preserve">~$810M after-tax in Q2 2026</w:t>
      </w:r>
      <w:r>
        <w:t xml:space="preserve"> </w:t>
      </w:r>
      <w:r>
        <w:t xml:space="preserve">(vs. $774M total after-tax NII a year ago).</w:t>
      </w:r>
    </w:p>
    <w:p>
      <w:pPr>
        <w:pStyle w:val="Compact"/>
        <w:numPr>
          <w:ilvl w:val="0"/>
          <w:numId w:val="1003"/>
        </w:numPr>
      </w:pPr>
      <w:r>
        <w:rPr>
          <w:b/>
          <w:bCs/>
        </w:rPr>
        <w:t xml:space="preserve">Capital return:</w:t>
      </w:r>
      <w:r>
        <w:t xml:space="preserve"> </w:t>
      </w:r>
      <w:r>
        <w:t xml:space="preserve">22 consecutive years of dividend increases; the dividend was just raised 14% to **</w:t>
      </w:r>
      <m:oMath>
        <m:r>
          <m:t>1.25</m:t>
        </m:r>
        <m:r>
          <m:rPr>
            <m:sty m:val="p"/>
          </m:rPr>
          <m:t>/</m:t>
        </m:r>
        <m:r>
          <m:t>s</m:t>
        </m:r>
        <m:r>
          <m:t>h</m:t>
        </m:r>
        <m:r>
          <m:t>a</m:t>
        </m:r>
        <m:r>
          <m:t>r</m:t>
        </m:r>
        <m:r>
          <m:t>e</m:t>
        </m:r>
        <m:r>
          <m:rPr>
            <m:sty m:val="p"/>
          </m:rPr>
          <m:t>*</m:t>
        </m:r>
        <m:r>
          <m:rPr>
            <m:sty m:val="p"/>
          </m:rPr>
          <m:t>*</m:t>
        </m:r>
        <m:r>
          <m:rPr>
            <m:sty m:val="p"/>
          </m:rPr>
          <m:t>,</m:t>
        </m:r>
        <m:r>
          <m:t>a</m:t>
        </m:r>
        <m:r>
          <m:t>n</m:t>
        </m:r>
        <m:r>
          <m:t>d</m:t>
        </m:r>
        <m:r>
          <m:t>b</m:t>
        </m:r>
        <m:r>
          <m:t>u</m:t>
        </m:r>
        <m:r>
          <m:t>y</m:t>
        </m:r>
        <m:r>
          <m:t>b</m:t>
        </m:r>
        <m:r>
          <m:t>a</m:t>
        </m:r>
        <m:r>
          <m:t>c</m:t>
        </m:r>
        <m:r>
          <m:t>k</m:t>
        </m:r>
        <m:r>
          <m:t>s</m:t>
        </m:r>
        <m:r>
          <m:t>r</m:t>
        </m:r>
        <m:r>
          <m:t>a</m:t>
        </m:r>
        <m:r>
          <m:t>n</m:t>
        </m:r>
        <m:r>
          <m:t> </m:t>
        </m:r>
      </m:oMath>
      <w:r>
        <w:t xml:space="preserve">2B in Q1. Adjusted book value per share reached $161.60, +16% YoY.</w:t>
      </w:r>
    </w:p>
    <w:bookmarkEnd w:id="13"/>
    <w:bookmarkStart w:id="14" w:name="key-things-to-watch-on-the-call"/>
    <w:p>
      <w:pPr>
        <w:pStyle w:val="Heading2"/>
      </w:pPr>
      <w:r>
        <w:t xml:space="preserve">Key things to watch on the call</w:t>
      </w:r>
    </w:p>
    <w:p>
      <w:pPr>
        <w:pStyle w:val="Compact"/>
        <w:numPr>
          <w:ilvl w:val="0"/>
          <w:numId w:val="1004"/>
        </w:numPr>
      </w:pPr>
      <w:r>
        <w:rPr>
          <w:b/>
          <w:bCs/>
        </w:rPr>
        <w:t xml:space="preserve">Catastrophe magnitude:</w:t>
      </w:r>
      <w:r>
        <w:t xml:space="preserve"> </w:t>
      </w:r>
      <w:r>
        <w:t xml:space="preserve">The single biggest swing factor. KBW's preview flags "difficult domestic weather but few major catastrophes" for the quarter — watch how TRV's number compares to its elevated cat load.</w:t>
      </w:r>
    </w:p>
    <w:p>
      <w:pPr>
        <w:pStyle w:val="Compact"/>
        <w:numPr>
          <w:ilvl w:val="0"/>
          <w:numId w:val="1004"/>
        </w:numPr>
      </w:pPr>
      <w:r>
        <w:rPr>
          <w:b/>
          <w:bCs/>
        </w:rPr>
        <w:t xml:space="preserve">Casualty reserve adequacy / social inflation:</w:t>
      </w:r>
      <w:r>
        <w:t xml:space="preserve"> </w:t>
      </w:r>
      <w:r>
        <w:t xml:space="preserve">Travelers continues to layer an "uncertainty provision" into liability loss picks (attorney representation and severity remain elevated). Any change in tone matters for the whole group. Also watch continued favorable development, especially in workers' comp.</w:t>
      </w:r>
    </w:p>
    <w:p>
      <w:pPr>
        <w:pStyle w:val="Compact"/>
        <w:numPr>
          <w:ilvl w:val="0"/>
          <w:numId w:val="1004"/>
        </w:numPr>
      </w:pPr>
      <w:r>
        <w:rPr>
          <w:b/>
          <w:bCs/>
        </w:rPr>
        <w:t xml:space="preserve">Pricing trajectory:</w:t>
      </w:r>
      <w:r>
        <w:t xml:space="preserve"> </w:t>
      </w:r>
      <w:r>
        <w:t xml:space="preserve">The market is softening. Renewal premium change ex-property in Business Insurance ran ~8% last quarter but headline RPC is decelerating, property pricing is now only positive, and industry commentary points to pricing pressure "spreading beyond property." Watch whether TRV defends margins via retention/mix.</w:t>
      </w:r>
    </w:p>
    <w:p>
      <w:pPr>
        <w:pStyle w:val="Compact"/>
        <w:numPr>
          <w:ilvl w:val="0"/>
          <w:numId w:val="1004"/>
        </w:numPr>
      </w:pPr>
      <w:r>
        <w:rPr>
          <w:b/>
          <w:bCs/>
        </w:rPr>
        <w:t xml:space="preserve">Personal lines growth vs. margin:</w:t>
      </w:r>
      <w:r>
        <w:t xml:space="preserve"> </w:t>
      </w:r>
      <w:r>
        <w:t xml:space="preserve">Home RPC is guided down toward mid-single digits as rate adequacy is reached — the market wants profitable growth without giving back margin.</w:t>
      </w:r>
    </w:p>
    <w:p>
      <w:pPr>
        <w:pStyle w:val="Compact"/>
        <w:numPr>
          <w:ilvl w:val="0"/>
          <w:numId w:val="1004"/>
        </w:numPr>
      </w:pPr>
      <w:r>
        <w:rPr>
          <w:b/>
          <w:bCs/>
        </w:rPr>
        <w:t xml:space="preserve">Expense ratio:</w:t>
      </w:r>
      <w:r>
        <w:t xml:space="preserve"> </w:t>
      </w:r>
      <w:r>
        <w:t xml:space="preserve">Full-year guide remains ~28.5%; Q2 seasonality and profit-sharing accruals can move it.</w:t>
      </w:r>
    </w:p>
    <w:p>
      <w:pPr>
        <w:pStyle w:val="Compact"/>
        <w:numPr>
          <w:ilvl w:val="0"/>
          <w:numId w:val="1004"/>
        </w:numPr>
      </w:pPr>
      <w:r>
        <w:rPr>
          <w:b/>
          <w:bCs/>
        </w:rPr>
        <w:t xml:space="preserve">Tort reform:</w:t>
      </w:r>
      <w:r>
        <w:t xml:space="preserve"> </w:t>
      </w:r>
      <w:r>
        <w:t xml:space="preserve">Encouraging developments in Florida, Georgia, Texas, Louisiana, South Carolina — any read on whether that's translating into loss-cost relief.</w:t>
      </w:r>
    </w:p>
    <w:bookmarkEnd w:id="14"/>
    <w:bookmarkStart w:id="15" w:name="bottom-line"/>
    <w:p>
      <w:pPr>
        <w:pStyle w:val="Heading2"/>
      </w:pPr>
      <w:r>
        <w:t xml:space="preserve">Bottom line</w:t>
      </w:r>
    </w:p>
    <w:p>
      <w:pPr>
        <w:pStyle w:val="FirstParagraph"/>
      </w:pPr>
      <w:r>
        <w:t xml:space="preserve">Expect a headline EPS</w:t>
      </w:r>
      <w:r>
        <w:t xml:space="preserve"> </w:t>
      </w:r>
      <w:r>
        <w:rPr>
          <w:i/>
          <w:iCs/>
        </w:rPr>
        <w:t xml:space="preserve">down</w:t>
      </w:r>
      <w:r>
        <w:t xml:space="preserve"> </w:t>
      </w:r>
      <w:r>
        <w:t xml:space="preserve">year-over-year — but largely for "good" reasons (an easy cat comp, more reinsurance purchased, and an alt-income lag) rather than any crack in underwriting. The real signal will be the</w:t>
      </w:r>
      <w:r>
        <w:t xml:space="preserve"> </w:t>
      </w:r>
      <w:r>
        <w:rPr>
          <w:b/>
          <w:bCs/>
        </w:rPr>
        <w:t xml:space="preserve">underlying combined ratio, catastrophe experience, casualty reserve commentary, and pricing direction</w:t>
      </w:r>
      <w:r>
        <w:t xml:space="preserve">. With the stock near record highs and a strong beat history, the risk is asymmetric: clean underlying results may already be expected, so soft pricing commentary or an outsized cat number could matter more than the EPS line itself.</w:t>
      </w:r>
    </w:p>
    <w:p>
      <w:r>
        <w:pict>
          <v:rect style="width:0;height:1.5pt" o:hralign="center" o:hrstd="t" o:hr="t"/>
        </w:pict>
      </w:r>
    </w:p>
    <w:p>
      <w:pPr>
        <w:pStyle w:val="FirstParagraph"/>
      </w:pPr>
      <w:r>
        <w:rPr>
          <w:i/>
          <w:iCs/>
        </w:rPr>
        <w:t xml:space="preserve">Note: figures above are drawn from Travelers' Q1 2026 earnings call/release, its Q2 2025 earnings release, third-party analyst previews (Zacks, KBW, Piper Sandler, Alphastreet), reinsurance-market reporting on the 2026 cat program, and market prices through July 16, 2026. Consensus estimates vary by source; verify against your own data before the print.</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2026-07-17T00:09:33Z</dcterms:created>
  <dcterms:modified xsi:type="dcterms:W3CDTF">2026-07-17T00:09:33Z</dcterms:modified>
</cp:coreProperties>
</file>

<file path=docProps/custom.xml><?xml version="1.0" encoding="utf-8"?>
<Properties xmlns="http://schemas.openxmlformats.org/officeDocument/2006/custom-properties" xmlns:vt="http://schemas.openxmlformats.org/officeDocument/2006/docPropsVTypes"/>
</file>