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a5ceb08c33032252fcdbad2e414de6d1bfa726e"/>
    <w:p>
      <w:pPr>
        <w:pStyle w:val="Heading1"/>
      </w:pPr>
      <w:r>
        <w:t xml:space="preserve">The Travelers Companies (TRV) — Q2 2026 Earnings Preview</w:t>
      </w:r>
    </w:p>
    <w:p>
      <w:pPr>
        <w:pStyle w:val="FirstParagraph"/>
      </w:pPr>
      <w:r>
        <w:rPr>
          <w:b/>
          <w:bCs/>
        </w:rPr>
        <w:t xml:space="preserve">Report Date:</w:t>
      </w:r>
      <w:r>
        <w:t xml:space="preserve"> </w:t>
      </w:r>
      <w:r>
        <w:t xml:space="preserve">Thursday, July 17, 2026 (before market open) |</w:t>
      </w:r>
      <w:r>
        <w:t xml:space="preserve"> </w:t>
      </w:r>
      <w:r>
        <w:rPr>
          <w:b/>
          <w:bCs/>
        </w:rPr>
        <w:t xml:space="preserve">Consensus:</w:t>
      </w:r>
      <w:r>
        <w:t xml:space="preserve"> </w:t>
      </w:r>
      <w:r>
        <w:t xml:space="preserve">~</w:t>
      </w:r>
      <m:oMath>
        <m:r>
          <m:t>5.33</m:t>
        </m:r>
        <m:r>
          <m:t>c</m:t>
        </m:r>
        <m:r>
          <m:t>o</m:t>
        </m:r>
        <m:r>
          <m:t>r</m:t>
        </m:r>
        <m:r>
          <m:t>e</m:t>
        </m:r>
        <m:r>
          <m:t>E</m:t>
        </m:r>
        <m:r>
          <m:t>P</m:t>
        </m:r>
        <m:r>
          <m:t>S</m:t>
        </m:r>
        <m:r>
          <m:rPr>
            <m:sty m:val="p"/>
          </m:rPr>
          <m:t>,</m:t>
        </m:r>
        <m:r>
          <m:t> </m:t>
        </m:r>
      </m:oMath>
      <w:r>
        <w:t xml:space="preserve">11.0B revenue (24 analysts)</w:t>
      </w:r>
    </w:p>
    <w:p>
      <w:r>
        <w:pict>
          <v:rect style="width:0;height:1.5pt" o:hralign="center" o:hrstd="t" o:hr="t"/>
        </w:pict>
      </w:r>
    </w:p>
    <w:bookmarkStart w:id="9" w:name="X258b8e9272006a92d53a0a591aa9d6a0a67848d"/>
    <w:p>
      <w:pPr>
        <w:pStyle w:val="Heading2"/>
      </w:pPr>
      <w:r>
        <w:t xml:space="preserve">Setup: A Tough Year-over-Year Comp Meets an Active Catastrophe Season</w:t>
      </w:r>
    </w:p>
    <w:p>
      <w:pPr>
        <w:pStyle w:val="FirstParagraph"/>
      </w:pPr>
      <w:r>
        <w:t xml:space="preserve">Travelers reports second-quarter results against a genuinely difficult comparison. In Q2 2025, Travelers reported an underwriting gain of</w:t>
      </w:r>
      <w:r>
        <w:t xml:space="preserve"> </w:t>
      </w:r>
      <m:oMath>
        <m:r>
          <m:t>1.022</m:t>
        </m:r>
        <m:r>
          <m:t>b</m:t>
        </m:r>
        <m:r>
          <m:t>i</m:t>
        </m:r>
        <m:r>
          <m:t>l</m:t>
        </m:r>
        <m:r>
          <m:t>l</m:t>
        </m:r>
        <m:r>
          <m:t>i</m:t>
        </m:r>
        <m:r>
          <m:t>o</m:t>
        </m:r>
        <m:r>
          <m:t>n</m:t>
        </m:r>
        <m:r>
          <m:rPr>
            <m:sty m:val="p"/>
          </m:rPr>
          <m:t>,</m:t>
        </m:r>
        <m:r>
          <m:t>a</m:t>
        </m:r>
        <m:r>
          <m:t>s</m:t>
        </m:r>
        <m:r>
          <m:t>i</m:t>
        </m:r>
        <m:r>
          <m:t>g</m:t>
        </m:r>
        <m:r>
          <m:t>n</m:t>
        </m:r>
        <m:r>
          <m:t>i</m:t>
        </m:r>
        <m:r>
          <m:t>f</m:t>
        </m:r>
        <m:r>
          <m:t>i</m:t>
        </m:r>
        <m:r>
          <m:t>c</m:t>
        </m:r>
        <m:r>
          <m:t>a</m:t>
        </m:r>
        <m:r>
          <m:t>n</m:t>
        </m:r>
        <m:r>
          <m:t>t</m:t>
        </m:r>
        <m:r>
          <m:t>i</m:t>
        </m:r>
        <m:r>
          <m:t>m</m:t>
        </m:r>
        <m:r>
          <m:t>p</m:t>
        </m:r>
        <m:r>
          <m:t>r</m:t>
        </m:r>
        <m:r>
          <m:t>o</m:t>
        </m:r>
        <m:r>
          <m:t>v</m:t>
        </m:r>
        <m:r>
          <m:t>e</m:t>
        </m:r>
        <m:r>
          <m:t>m</m:t>
        </m:r>
        <m:r>
          <m:t>e</m:t>
        </m:r>
        <m:r>
          <m:t>n</m:t>
        </m:r>
        <m:r>
          <m:t>t</m:t>
        </m:r>
        <m:r>
          <m:t>c</m:t>
        </m:r>
        <m:r>
          <m:t>o</m:t>
        </m:r>
        <m:r>
          <m:t>m</m:t>
        </m:r>
        <m:r>
          <m:t>p</m:t>
        </m:r>
        <m:r>
          <m:t>a</m:t>
        </m:r>
        <m:r>
          <m:t>r</m:t>
        </m:r>
        <m:r>
          <m:t>e</m:t>
        </m:r>
        <m:r>
          <m:t>d</m:t>
        </m:r>
        <m:r>
          <m:t>t</m:t>
        </m:r>
        <m:r>
          <m:t>o</m:t>
        </m:r>
        <m:r>
          <m:t>t</m:t>
        </m:r>
        <m:r>
          <m:t>h</m:t>
        </m:r>
        <m:r>
          <m:t>e</m:t>
        </m:r>
        <m:r>
          <m:t>p</m:t>
        </m:r>
        <m:r>
          <m:t>r</m:t>
        </m:r>
        <m:r>
          <m:t>i</m:t>
        </m:r>
        <m:r>
          <m:t>o</m:t>
        </m:r>
        <m:r>
          <m:t>r</m:t>
        </m:r>
        <m:r>
          <m:t>y</m:t>
        </m:r>
        <m:r>
          <m:t>e</m:t>
        </m:r>
        <m:r>
          <m:t>a</m:t>
        </m:r>
        <m:r>
          <m:t>r</m:t>
        </m:r>
        <m:r>
          <m:t>q</m:t>
        </m:r>
        <m:r>
          <m:t>u</m:t>
        </m:r>
        <m:r>
          <m:t>a</m:t>
        </m:r>
        <m:r>
          <m:t>r</m:t>
        </m:r>
        <m:r>
          <m:t>t</m:t>
        </m:r>
        <m:r>
          <m:t>e</m:t>
        </m:r>
        <m:sSup>
          <m:e>
            <m:r>
              <m:t>r</m:t>
            </m:r>
          </m:e>
          <m:sup>
            <m:r>
              <m:rPr>
                <m:sty m:val="p"/>
              </m:rPr>
              <m:t>′</m:t>
            </m:r>
          </m:sup>
        </m:sSup>
        <m:r>
          <m:t>s</m:t>
        </m:r>
        <m:r>
          <m:t>l</m:t>
        </m:r>
        <m:r>
          <m:t>o</m:t>
        </m:r>
        <m:r>
          <m:t>s</m:t>
        </m:r>
        <m:r>
          <m:t>s</m:t>
        </m:r>
        <m:r>
          <m:rPr>
            <m:sty m:val="p"/>
          </m:rPr>
          <m:t>,</m:t>
        </m:r>
        <m:r>
          <m:t>a</m:t>
        </m:r>
        <m:r>
          <m:t>s</m:t>
        </m:r>
        <m:r>
          <m:t>n</m:t>
        </m:r>
        <m:r>
          <m:t>e</m:t>
        </m:r>
        <m:r>
          <m:t>t</m:t>
        </m:r>
        <m:r>
          <m:t>i</m:t>
        </m:r>
        <m:r>
          <m:t>n</m:t>
        </m:r>
        <m:r>
          <m:t>c</m:t>
        </m:r>
        <m:r>
          <m:t>o</m:t>
        </m:r>
        <m:r>
          <m:t>m</m:t>
        </m:r>
        <m:r>
          <m:t>e</m:t>
        </m:r>
        <m:r>
          <m:t>g</m:t>
        </m:r>
        <m:r>
          <m:t>r</m:t>
        </m:r>
        <m:r>
          <m:t>e</m:t>
        </m:r>
        <m:r>
          <m:t>w</m:t>
        </m:r>
        <m:r>
          <m:t>183</m:t>
        </m:r>
      </m:oMath>
      <w:r>
        <w:t xml:space="preserve">1.509 billion of net income and</w:t>
      </w:r>
      <w:r>
        <w:t xml:space="preserve"> </w:t>
      </w:r>
      <m:oMath>
        <m:r>
          <m:t>6.51</m:t>
        </m:r>
        <m:r>
          <m:t>o</m:t>
        </m:r>
        <m:r>
          <m:t>f</m:t>
        </m:r>
        <m:r>
          <m:t>c</m:t>
        </m:r>
        <m:r>
          <m:t>o</m:t>
        </m:r>
        <m:r>
          <m:t>r</m:t>
        </m:r>
        <m:r>
          <m:t>e</m:t>
        </m:r>
        <m:r>
          <m:t>E</m:t>
        </m:r>
        <m:r>
          <m:t>P</m:t>
        </m:r>
        <m:r>
          <m:t>S</m:t>
        </m:r>
        <m:r>
          <m:rPr>
            <m:sty m:val="p"/>
          </m:rPr>
          <m:t>*</m:t>
        </m:r>
        <m:r>
          <m:rPr>
            <m:sty m:val="p"/>
          </m:rPr>
          <m:t>*</m:t>
        </m:r>
        <m:r>
          <m:rPr>
            <m:sty m:val="p"/>
          </m:rPr>
          <m:t>,</m:t>
        </m:r>
        <m:r>
          <m:t>o</m:t>
        </m:r>
        <m:r>
          <m:t>n</m:t>
        </m:r>
        <m:r>
          <m:t>a</m:t>
        </m:r>
        <m:r>
          <m:rPr>
            <m:sty m:val="p"/>
          </m:rPr>
          <m:t>*</m:t>
        </m:r>
        <m:r>
          <m:rPr>
            <m:sty m:val="p"/>
          </m:rPr>
          <m:t>*</m:t>
        </m:r>
        <m:r>
          <m:t>90.3</m:t>
        </m:r>
      </m:oMath>
      <w:r>
        <w:t xml:space="preserve">927 million of pre-tax catastrophe losses** — an unusually clean quarter. That sets a high bar, and it's the main reason Street models show a sharp headline EPS decline this quarter. As one preview noted, last year's second quarter delivered $1.51 billion in net income, setting a high bar for the current period, and the anticipated year-over-year earnings decline suggests either elevated catastrophe losses, less favorable prior-year reserve development, or some combination of underwriting and investment headwinds relative to the strong comparable period.</w:t>
      </w:r>
    </w:p>
    <w:bookmarkEnd w:id="9"/>
    <w:bookmarkStart w:id="10" w:name="X20cf20f0671876118fbcb33d55624bbe175f787"/>
    <w:p>
      <w:pPr>
        <w:pStyle w:val="Heading2"/>
      </w:pPr>
      <w:r>
        <w:t xml:space="preserve">The Catastrophe Backdrop: More Active Than a Year Ago</w:t>
      </w:r>
    </w:p>
    <w:p>
      <w:pPr>
        <w:pStyle w:val="FirstParagraph"/>
      </w:pPr>
      <w:r>
        <w:t xml:space="preserve">Q2 is the seasonal peak for U.S. severe convective storm (SCS) activity — hail, tornadoes, and wind — and 2026 has delivered a genuinely busy stretch. Severe convective storms hit multiple parts of the country from June 1 to June 17, bringing dozens of tornadoes, large hail, damaging winds and flash flooding, impacting major metro areas including Chicago, Denver, Dallas, Milwaukee, Washington, D.C., and New York City, with Gallagher Re estimating the 17-day stretch cost the industry mid-single-digit billions. Industry-wide SCS losses topped $22 billion as of June 18, making 2026 the 11th consecutive year with more than $20 billion of annual U.S. SCS insured losses, though the year-to-date tally remains below 5- and 10-year averages.</w:t>
      </w:r>
    </w:p>
    <w:p>
      <w:pPr>
        <w:pStyle w:val="BodyText"/>
      </w:pPr>
      <w:r>
        <w:t xml:space="preserve">Peer read-throughs support the "elevated but not catastrophic" framing. Allstate disclosed pre-tax catastrophe losses of $563 million for June 2026 alone, bringing its Q2 2026 total to $1.72 billion pre-tax, up from April's $870 million and a comparatively quieter May, though this is a slight decline from Allstate's $1.99 billion of Q2 2025 catastrophe losses. RBC Capital Markets has flagged this dynamic across the sector: analysts expect catastrophe losses to play a more prominent role in second-quarter results than a year earlier, given the quarter's coincidence with peak severe convective storm season, and importantly the location of events often matters more than frequency, with particularly severe tornado and hail activity across the Great Lakes and Midwest in April and June potentially driving elevated claims. For Travelers specifically, watch for cat losses likely above last year's $927 million but management commentary should frame this as within normal volatility rather than a tail event — no California-wildfire-scale single event has been flagged this quarter.</w:t>
      </w:r>
    </w:p>
    <w:bookmarkEnd w:id="10"/>
    <w:bookmarkStart w:id="11" w:name="q1-2026-recap-momentum-coming-in"/>
    <w:p>
      <w:pPr>
        <w:pStyle w:val="Heading2"/>
      </w:pPr>
      <w:r>
        <w:t xml:space="preserve">Q1 2026 Recap: Momentum Coming In</w:t>
      </w:r>
    </w:p>
    <w:p>
      <w:pPr>
        <w:pStyle w:val="FirstParagraph"/>
      </w:pPr>
      <w:r>
        <w:t xml:space="preserve">Travelers arrives at this print off an excellent first quarter that showed underlying fundamentals in very good shape. The company posted a consolidated combined ratio of 88.6% and underlying combined ratio of 85.3%, with catastrophe losses of $761 million pre-tax (down from $2.266 billion a year earlier) and net favorable prior-year reserve development in all three segments totaling $413 million pre-tax. Core income was</w:t>
      </w:r>
      <w:r>
        <w:t xml:space="preserve"> </w:t>
      </w:r>
      <m:oMath>
        <m:r>
          <m:t>1.696</m:t>
        </m:r>
        <m:r>
          <m:t>b</m:t>
        </m:r>
        <m:r>
          <m:t>i</m:t>
        </m:r>
        <m:r>
          <m:t>l</m:t>
        </m:r>
        <m:r>
          <m:t>l</m:t>
        </m:r>
        <m:r>
          <m:t>i</m:t>
        </m:r>
        <m:r>
          <m:t>o</m:t>
        </m:r>
        <m:r>
          <m:t>n</m:t>
        </m:r>
        <m:r>
          <m:rPr>
            <m:sty m:val="p"/>
          </m:rPr>
          <m:t>(</m:t>
        </m:r>
      </m:oMath>
      <w:r>
        <w:t xml:space="preserve">7.71/share) with a trailing-twelve-month core ROE of 22.7%, and the company returned $2.2 billion of capital including nearly $2.0 billion of buybacks, alongside a</w:t>
      </w:r>
      <w:r>
        <w:t xml:space="preserve"> </w:t>
      </w:r>
      <w:r>
        <w:rPr>
          <w:b/>
          <w:bCs/>
        </w:rPr>
        <w:t xml:space="preserve">14% dividend increase to $1.25/share</w:t>
      </w:r>
      <w:r>
        <w:t xml:space="preserve"> </w:t>
      </w:r>
      <w:r>
        <w:t xml:space="preserve">— the 22nd consecutive year of increases. The completed sale of most Canadian operations is now a modest drag on reported premium growth comps (~2 points consolidated) through the rest of the year, a modeling nuance analysts will continue adjusting for.</w:t>
      </w:r>
    </w:p>
    <w:p>
      <w:pPr>
        <w:pStyle w:val="BodyText"/>
      </w:pPr>
      <w:r>
        <w:t xml:space="preserve">Segment-level underlying trends heading into Q2:</w:t>
      </w:r>
    </w:p>
    <w:p>
      <w:pPr>
        <w:pStyle w:val="Compact"/>
        <w:numPr>
          <w:ilvl w:val="0"/>
          <w:numId w:val="1001"/>
        </w:numPr>
      </w:pPr>
      <w:r>
        <w:rPr>
          <w:b/>
          <w:bCs/>
        </w:rPr>
        <w:t xml:space="preserve">Business Insurance:</w:t>
      </w:r>
      <w:r>
        <w:t xml:space="preserve"> </w:t>
      </w:r>
      <w:r>
        <w:t xml:space="preserve">Q1 delivered its 14th consecutive quarter with an underlying combined ratio below 90%, with record new business ($775M) and retention up to 86%. However, management acknowledged on the Q1 call that renewal pricing in some lines is now running below stated long-term loss trend for the first time in years — a dynamic to watch for signs of margin erosion.</w:t>
      </w:r>
    </w:p>
    <w:p>
      <w:pPr>
        <w:pStyle w:val="Compact"/>
        <w:numPr>
          <w:ilvl w:val="0"/>
          <w:numId w:val="1001"/>
        </w:numPr>
      </w:pPr>
      <w:r>
        <w:rPr>
          <w:b/>
          <w:bCs/>
        </w:rPr>
        <w:t xml:space="preserve">Personal Insurance:</w:t>
      </w:r>
      <w:r>
        <w:t xml:space="preserve"> </w:t>
      </w:r>
      <w:r>
        <w:t xml:space="preserve">Q1's underlying combined ratio of 78.3% was the best first-quarter reading in a decade, but</w:t>
      </w:r>
      <w:r>
        <w:t xml:space="preserve"> </w:t>
      </w:r>
      <w:r>
        <w:rPr>
          <w:b/>
          <w:bCs/>
        </w:rPr>
        <w:t xml:space="preserve">Q2 is seasonally the highest quarter for Homeowners weather losses</w:t>
      </w:r>
      <w:r>
        <w:t xml:space="preserve"> </w:t>
      </w:r>
      <w:r>
        <w:t xml:space="preserve">— a factor management explicitly flagged. The segment is also pivoting from multi-year de-risking toward re-accelerating growth (moderating renewal pricing toward mid-single digits, loosening eligibility/appetite), so watch whether growth initiatives are pressuring underlying margins.</w:t>
      </w:r>
    </w:p>
    <w:p>
      <w:pPr>
        <w:pStyle w:val="Compact"/>
        <w:numPr>
          <w:ilvl w:val="0"/>
          <w:numId w:val="1001"/>
        </w:numPr>
      </w:pPr>
      <w:r>
        <w:rPr>
          <w:b/>
          <w:bCs/>
        </w:rPr>
        <w:t xml:space="preserve">Bond &amp; Specialty:</w:t>
      </w:r>
      <w:r>
        <w:t xml:space="preserve"> </w:t>
      </w:r>
      <w:r>
        <w:t xml:space="preserve">Consistently the most stable, profitable segment, with Surety net written premiums up 14% in Q1 on broad-based infrastructure-driven demand.</w:t>
      </w:r>
    </w:p>
    <w:bookmarkEnd w:id="11"/>
    <w:bookmarkStart w:id="12" w:name="estimates-and-guidance-to-track"/>
    <w:p>
      <w:pPr>
        <w:pStyle w:val="Heading2"/>
      </w:pPr>
      <w:r>
        <w:t xml:space="preserve">Estimates and Guidance to Track</w:t>
      </w:r>
    </w:p>
    <w:p>
      <w:pPr>
        <w:pStyle w:val="FirstParagraph"/>
      </w:pPr>
      <w:r>
        <w:t xml:space="preserve">Consensus is messy across sources — a reflection of just how catastrophe-sensitive this print is. Analysts expect earnings of $5.33 per share on revenue of $11.03 billion, with the EPS consensus reflecting input from 24 analysts spanning a wide range from $4.17 to $7.37 per share. Analyst sentiment has strengthened notably in recent months, with the consensus EPS estimate climbing 10.1% over the past 30 days from</w:t>
      </w:r>
      <w:r>
        <w:t xml:space="preserve"> </w:t>
      </w:r>
      <m:oMath>
        <m:r>
          <m:t>4.84</m:t>
        </m:r>
        <m:r>
          <m:rPr>
            <m:sty m:val="p"/>
          </m:rPr>
          <m:t>—</m:t>
        </m:r>
        <m:r>
          <m:t>s</m:t>
        </m:r>
        <m:r>
          <m:t>u</m:t>
        </m:r>
        <m:r>
          <m:t>g</m:t>
        </m:r>
        <m:r>
          <m:t>g</m:t>
        </m:r>
        <m:r>
          <m:t>e</m:t>
        </m:r>
        <m:r>
          <m:t>s</m:t>
        </m:r>
        <m:r>
          <m:t>t</m:t>
        </m:r>
        <m:r>
          <m:t>i</m:t>
        </m:r>
        <m:r>
          <m:t>n</m:t>
        </m:r>
        <m:r>
          <m:t>g</m:t>
        </m:r>
        <m:r>
          <m:t>e</m:t>
        </m:r>
        <m:r>
          <m:t>s</m:t>
        </m:r>
        <m:r>
          <m:t>t</m:t>
        </m:r>
        <m:r>
          <m:t>i</m:t>
        </m:r>
        <m:r>
          <m:t>m</m:t>
        </m:r>
        <m:r>
          <m:t>a</m:t>
        </m:r>
        <m:r>
          <m:t>t</m:t>
        </m:r>
        <m:r>
          <m:t>e</m:t>
        </m:r>
        <m:r>
          <m:t>s</m:t>
        </m:r>
        <m:r>
          <m:t>w</m:t>
        </m:r>
        <m:r>
          <m:t>e</m:t>
        </m:r>
        <m:r>
          <m:t>r</m:t>
        </m:r>
        <m:r>
          <m:t>e</m:t>
        </m:r>
        <m:r>
          <m:t>r</m:t>
        </m:r>
        <m:r>
          <m:t>e</m:t>
        </m:r>
        <m:r>
          <m:t>v</m:t>
        </m:r>
        <m:r>
          <m:t>i</m:t>
        </m:r>
        <m:r>
          <m:t>s</m:t>
        </m:r>
        <m:r>
          <m:t>e</m:t>
        </m:r>
        <m:r>
          <m:t>d</m:t>
        </m:r>
        <m:r>
          <m:t>u</m:t>
        </m:r>
        <m:r>
          <m:t>p</m:t>
        </m:r>
        <m:r>
          <m:t>a</m:t>
        </m:r>
        <m:r>
          <m:t>s</m:t>
        </m:r>
        <m:r>
          <m:t>t</m:t>
        </m:r>
        <m:r>
          <m:t>h</m:t>
        </m:r>
        <m:r>
          <m:t>e</m:t>
        </m:r>
        <m:r>
          <m:t>q</m:t>
        </m:r>
        <m:r>
          <m:t>u</m:t>
        </m:r>
        <m:r>
          <m:t>a</m:t>
        </m:r>
        <m:r>
          <m:t>r</m:t>
        </m:r>
        <m:r>
          <m:t>t</m:t>
        </m:r>
        <m:r>
          <m:t>e</m:t>
        </m:r>
        <m:r>
          <m:t>r</m:t>
        </m:r>
        <m:r>
          <m:t>p</m:t>
        </m:r>
        <m:r>
          <m:t>r</m:t>
        </m:r>
        <m:r>
          <m:t>o</m:t>
        </m:r>
        <m:r>
          <m:t>g</m:t>
        </m:r>
        <m:r>
          <m:t>r</m:t>
        </m:r>
        <m:r>
          <m:t>e</m:t>
        </m:r>
        <m:r>
          <m:t>s</m:t>
        </m:r>
        <m:r>
          <m:t>s</m:t>
        </m:r>
        <m:r>
          <m:t>e</m:t>
        </m:r>
        <m:r>
          <m:t>d</m:t>
        </m:r>
        <m:r>
          <m:t>a</m:t>
        </m:r>
        <m:r>
          <m:t>n</m:t>
        </m:r>
        <m:r>
          <m:t>d</m:t>
        </m:r>
        <m:r>
          <m:t>c</m:t>
        </m:r>
        <m:r>
          <m:t>a</m:t>
        </m:r>
        <m:r>
          <m:t>t</m:t>
        </m:r>
        <m:r>
          <m:t>a</m:t>
        </m:r>
        <m:r>
          <m:t>c</m:t>
        </m:r>
        <m:r>
          <m:t>t</m:t>
        </m:r>
        <m:r>
          <m:t>i</m:t>
        </m:r>
        <m:r>
          <m:t>v</m:t>
        </m:r>
        <m:r>
          <m:t>i</m:t>
        </m:r>
        <m:r>
          <m:t>t</m:t>
        </m:r>
        <m:r>
          <m:t>y</m:t>
        </m:r>
        <m:r>
          <m:t>c</m:t>
        </m:r>
        <m:r>
          <m:t>a</m:t>
        </m:r>
        <m:r>
          <m:t>m</m:t>
        </m:r>
        <m:r>
          <m:t>e</m:t>
        </m:r>
        <m:r>
          <m:t>i</m:t>
        </m:r>
        <m:r>
          <m:t>n</m:t>
        </m:r>
        <m:r>
          <m:t>s</m:t>
        </m:r>
        <m:r>
          <m:t>o</m:t>
        </m:r>
        <m:r>
          <m:t>m</m:t>
        </m:r>
        <m:r>
          <m:t>e</m:t>
        </m:r>
        <m:r>
          <m:t>w</m:t>
        </m:r>
        <m:r>
          <m:t>h</m:t>
        </m:r>
        <m:r>
          <m:t>a</m:t>
        </m:r>
        <m:r>
          <m:t>t</m:t>
        </m:r>
        <m:r>
          <m:t>m</m:t>
        </m:r>
        <m:r>
          <m:t>o</m:t>
        </m:r>
        <m:r>
          <m:t>r</m:t>
        </m:r>
        <m:r>
          <m:t>e</m:t>
        </m:r>
        <m:r>
          <m:t>c</m:t>
        </m:r>
        <m:r>
          <m:t>o</m:t>
        </m:r>
        <m:r>
          <m:t>n</m:t>
        </m:r>
        <m:r>
          <m:t>t</m:t>
        </m:r>
        <m:r>
          <m:t>a</m:t>
        </m:r>
        <m:r>
          <m:t>i</m:t>
        </m:r>
        <m:r>
          <m:t>n</m:t>
        </m:r>
        <m:r>
          <m:t>e</m:t>
        </m:r>
        <m:r>
          <m:t>d</m:t>
        </m:r>
        <m:r>
          <m:t>t</m:t>
        </m:r>
        <m:r>
          <m:t>h</m:t>
        </m:r>
        <m:r>
          <m:t>a</m:t>
        </m:r>
        <m:r>
          <m:t>n</m:t>
        </m:r>
        <m:r>
          <m:t>f</m:t>
        </m:r>
        <m:r>
          <m:t>e</m:t>
        </m:r>
        <m:r>
          <m:t>a</m:t>
        </m:r>
        <m:r>
          <m:t>r</m:t>
        </m:r>
        <m:r>
          <m:t>e</m:t>
        </m:r>
        <m:r>
          <m:t>d</m:t>
        </m:r>
        <m:r>
          <m:t>m</m:t>
        </m:r>
        <m:r>
          <m:t>i</m:t>
        </m:r>
        <m:r>
          <m:t>d</m:t>
        </m:r>
        <m:r>
          <m:rPr>
            <m:sty m:val="p"/>
          </m:rPr>
          <m:t>−</m:t>
        </m:r>
        <m:r>
          <m:t>q</m:t>
        </m:r>
        <m:r>
          <m:t>u</m:t>
        </m:r>
        <m:r>
          <m:t>a</m:t>
        </m:r>
        <m:r>
          <m:t>r</m:t>
        </m:r>
        <m:r>
          <m:t>t</m:t>
        </m:r>
        <m:r>
          <m:t>e</m:t>
        </m:r>
        <m:r>
          <m:t>r</m:t>
        </m:r>
        <m:r>
          <m:rPr>
            <m:sty m:val="p"/>
          </m:rPr>
          <m:t>.</m:t>
        </m:r>
        <m:r>
          <m:t>O</m:t>
        </m:r>
        <m:r>
          <m:t>t</m:t>
        </m:r>
        <m:r>
          <m:t>h</m:t>
        </m:r>
        <m:r>
          <m:t>e</m:t>
        </m:r>
        <m:r>
          <m:t>r</m:t>
        </m:r>
        <m:r>
          <m:t>t</m:t>
        </m:r>
        <m:r>
          <m:t>r</m:t>
        </m:r>
        <m:r>
          <m:t>a</m:t>
        </m:r>
        <m:r>
          <m:t>c</m:t>
        </m:r>
        <m:r>
          <m:t>k</m:t>
        </m:r>
        <m:r>
          <m:t>e</m:t>
        </m:r>
        <m:r>
          <m:t>r</m:t>
        </m:r>
        <m:r>
          <m:t>s</m:t>
        </m:r>
        <m:r>
          <m:t>s</m:t>
        </m:r>
        <m:r>
          <m:t>h</m:t>
        </m:r>
        <m:r>
          <m:t>o</m:t>
        </m:r>
        <m:r>
          <m:t>w</m:t>
        </m:r>
        <m:r>
          <m:t>s</m:t>
        </m:r>
        <m:r>
          <m:t>l</m:t>
        </m:r>
        <m:r>
          <m:t>i</m:t>
        </m:r>
        <m:r>
          <m:t>g</m:t>
        </m:r>
        <m:r>
          <m:t>h</m:t>
        </m:r>
        <m:r>
          <m:t>t</m:t>
        </m:r>
        <m:r>
          <m:t>l</m:t>
        </m:r>
        <m:r>
          <m:t>y</m:t>
        </m:r>
        <m:r>
          <m:t>d</m:t>
        </m:r>
        <m:r>
          <m:t>i</m:t>
        </m:r>
        <m:r>
          <m:t>f</m:t>
        </m:r>
        <m:r>
          <m:t>f</m:t>
        </m:r>
        <m:r>
          <m:t>e</m:t>
        </m:r>
        <m:r>
          <m:t>r</m:t>
        </m:r>
        <m:r>
          <m:t>e</m:t>
        </m:r>
        <m:r>
          <m:t>n</m:t>
        </m:r>
        <m:r>
          <m:t>t</m:t>
        </m:r>
        <m:r>
          <m:t>c</m:t>
        </m:r>
        <m:r>
          <m:t>o</m:t>
        </m:r>
        <m:r>
          <m:t>n</m:t>
        </m:r>
        <m:r>
          <m:t>s</m:t>
        </m:r>
        <m:r>
          <m:t>e</m:t>
        </m:r>
        <m:r>
          <m:t>n</m:t>
        </m:r>
        <m:r>
          <m:t>s</m:t>
        </m:r>
        <m:r>
          <m:t>u</m:t>
        </m:r>
        <m:r>
          <m:t>s</m:t>
        </m:r>
        <m:r>
          <m:t>f</m:t>
        </m:r>
        <m:r>
          <m:t>i</m:t>
        </m:r>
        <m:r>
          <m:t>g</m:t>
        </m:r>
        <m:r>
          <m:t>u</m:t>
        </m:r>
        <m:r>
          <m:t>r</m:t>
        </m:r>
        <m:r>
          <m:t>e</m:t>
        </m:r>
        <m:r>
          <m:t>s</m:t>
        </m:r>
        <m:r>
          <m:rPr>
            <m:sty m:val="p"/>
          </m:rPr>
          <m:t>(</m:t>
        </m:r>
        <m:r>
          <m:t> </m:t>
        </m:r>
      </m:oMath>
      <w:r>
        <w:t xml:space="preserve">5.27 EPS/</w:t>
      </w:r>
      <m:oMath>
        <m:r>
          <m:t>11.26</m:t>
        </m:r>
        <m:r>
          <m:t>B</m:t>
        </m:r>
        <m:r>
          <m:t>r</m:t>
        </m:r>
        <m:r>
          <m:t>e</m:t>
        </m:r>
        <m:r>
          <m:t>v</m:t>
        </m:r>
        <m:r>
          <m:t>e</m:t>
        </m:r>
        <m:r>
          <m:t>n</m:t>
        </m:r>
        <m:r>
          <m:t>u</m:t>
        </m:r>
        <m:r>
          <m:t>e</m:t>
        </m:r>
        <m:r>
          <m:rPr>
            <m:sty m:val="p"/>
          </m:rPr>
          <m:t>,</m:t>
        </m:r>
        <m:r>
          <m:t>o</m:t>
        </m:r>
        <m:r>
          <m:t>r</m:t>
        </m:r>
        <m:r>
          <m:t>a</m:t>
        </m:r>
        <m:r>
          <m:t>l</m:t>
        </m:r>
        <m:r>
          <m:t>o</m:t>
        </m:r>
        <m:r>
          <m:t>w</m:t>
        </m:r>
        <m:r>
          <m:t>e</m:t>
        </m:r>
        <m:r>
          <m:t>r</m:t>
        </m:r>
        <m:r>
          <m:t> </m:t>
        </m:r>
      </m:oMath>
      <w:r>
        <w:t xml:space="preserve">4.87 in one comparison against a $6.51 prior-year print), underscoring how fluid and cat-dependent the number is right up to the print.</w:t>
      </w:r>
    </w:p>
    <w:p>
      <w:pPr>
        <w:pStyle w:val="BodyText"/>
      </w:pPr>
      <w:r>
        <w:t xml:space="preserve">Specific guidance items to reconcile against:</w:t>
      </w:r>
    </w:p>
    <w:p>
      <w:pPr>
        <w:pStyle w:val="Compact"/>
        <w:numPr>
          <w:ilvl w:val="0"/>
          <w:numId w:val="1002"/>
        </w:numPr>
      </w:pPr>
      <w:r>
        <w:rPr>
          <w:b/>
          <w:bCs/>
        </w:rPr>
        <w:t xml:space="preserve">Expense ratio:</w:t>
      </w:r>
      <w:r>
        <w:t xml:space="preserve"> </w:t>
      </w:r>
      <w:r>
        <w:t xml:space="preserve">Management reiterated on the Q1 call that the company continues to expect the full year 2026 expense ratio to be approximately 28.5%.</w:t>
      </w:r>
    </w:p>
    <w:p>
      <w:pPr>
        <w:pStyle w:val="Compact"/>
        <w:numPr>
          <w:ilvl w:val="0"/>
          <w:numId w:val="1002"/>
        </w:numPr>
      </w:pPr>
      <w:r>
        <w:rPr>
          <w:b/>
          <w:bCs/>
        </w:rPr>
        <w:t xml:space="preserve">Net investment income:</w:t>
      </w:r>
      <w:r>
        <w:t xml:space="preserve"> </w:t>
      </w:r>
      <w:r>
        <w:t xml:space="preserve">CFO Dan Frey guided to roughly</w:t>
      </w:r>
      <w:r>
        <w:t xml:space="preserve"> </w:t>
      </w:r>
      <m:oMath>
        <m:r>
          <m:t>810</m:t>
        </m:r>
        <m:r>
          <m:t>m</m:t>
        </m:r>
        <m:r>
          <m:t>i</m:t>
        </m:r>
        <m:r>
          <m:t>l</m:t>
        </m:r>
        <m:r>
          <m:t>l</m:t>
        </m:r>
        <m:r>
          <m:t>i</m:t>
        </m:r>
        <m:r>
          <m:t>o</m:t>
        </m:r>
        <m:r>
          <m:t>n</m:t>
        </m:r>
        <m:r>
          <m:t>a</m:t>
        </m:r>
        <m:r>
          <m:t>f</m:t>
        </m:r>
        <m:r>
          <m:t>t</m:t>
        </m:r>
        <m:r>
          <m:t>e</m:t>
        </m:r>
        <m:r>
          <m:t>r</m:t>
        </m:r>
        <m:r>
          <m:rPr>
            <m:sty m:val="p"/>
          </m:rPr>
          <m:t>−</m:t>
        </m:r>
        <m:r>
          <m:t>t</m:t>
        </m:r>
        <m:r>
          <m:t>a</m:t>
        </m:r>
        <m:r>
          <m:t>x</m:t>
        </m:r>
        <m:r>
          <m:t>f</m:t>
        </m:r>
        <m:r>
          <m:t>i</m:t>
        </m:r>
        <m:r>
          <m:t>x</m:t>
        </m:r>
        <m:r>
          <m:t>e</m:t>
        </m:r>
        <m:r>
          <m:t>d</m:t>
        </m:r>
        <m:r>
          <m:rPr>
            <m:sty m:val="p"/>
          </m:rPr>
          <m:t>−</m:t>
        </m:r>
        <m:r>
          <m:t>i</m:t>
        </m:r>
        <m:r>
          <m:t>n</m:t>
        </m:r>
        <m:r>
          <m:t>c</m:t>
        </m:r>
        <m:r>
          <m:t>o</m:t>
        </m:r>
        <m:r>
          <m:t>m</m:t>
        </m:r>
        <m:r>
          <m:t>e</m:t>
        </m:r>
        <m:r>
          <m:t>N</m:t>
        </m:r>
        <m:r>
          <m:t>I</m:t>
        </m:r>
        <m:r>
          <m:t>I</m:t>
        </m:r>
        <m:r>
          <m:t>i</m:t>
        </m:r>
        <m:r>
          <m:t>n</m:t>
        </m:r>
        <m:r>
          <m:t>Q</m:t>
        </m:r>
        <m:r>
          <m:t>2</m:t>
        </m:r>
        <m:r>
          <m:rPr>
            <m:sty m:val="p"/>
          </m:rPr>
          <m:t>,</m:t>
        </m:r>
        <m:r>
          <m:t>s</m:t>
        </m:r>
        <m:r>
          <m:t>t</m:t>
        </m:r>
        <m:r>
          <m:t>e</m:t>
        </m:r>
        <m:r>
          <m:t>p</m:t>
        </m:r>
        <m:r>
          <m:t>p</m:t>
        </m:r>
        <m:r>
          <m:t>i</m:t>
        </m:r>
        <m:r>
          <m:t>n</m:t>
        </m:r>
        <m:r>
          <m:t>g</m:t>
        </m:r>
        <m:r>
          <m:t>u</m:t>
        </m:r>
        <m:r>
          <m:t>p</m:t>
        </m:r>
        <m:r>
          <m:t>t</m:t>
        </m:r>
        <m:r>
          <m:t>o</m:t>
        </m:r>
        <m:r>
          <m:t> </m:t>
        </m:r>
      </m:oMath>
      <w:r>
        <w:t xml:space="preserve">840M in Q3 and ~$870M in Q4. Watch alternative investment income closely — management flagged that private equity/hedge fund/real estate returns run on a one-quarter lag, meaning</w:t>
      </w:r>
      <w:r>
        <w:t xml:space="preserve"> </w:t>
      </w:r>
      <w:r>
        <w:rPr>
          <w:b/>
          <w:bCs/>
        </w:rPr>
        <w:t xml:space="preserve">the Q1 2026 equity market pullback will show up as a Q2 headwind</w:t>
      </w:r>
      <w:r>
        <w:t xml:space="preserve"> </w:t>
      </w:r>
      <w:r>
        <w:t xml:space="preserve">to alternatives income.</w:t>
      </w:r>
    </w:p>
    <w:p>
      <w:pPr>
        <w:pStyle w:val="Compact"/>
        <w:numPr>
          <w:ilvl w:val="0"/>
          <w:numId w:val="1002"/>
        </w:numPr>
      </w:pPr>
      <w:r>
        <w:rPr>
          <w:b/>
          <w:bCs/>
        </w:rPr>
        <w:t xml:space="preserve">Casualty reserving:</w:t>
      </w:r>
      <w:r>
        <w:t xml:space="preserve"> </w:t>
      </w:r>
      <w:r>
        <w:t xml:space="preserve">Travelers has carried an extra "uncertainty provision" in casualty loss picks for 2024–2026 given persistent attorney representation and lengthening claim tails — any change in tone here would be notable given the size of favorable prior-year development that's been supporting recent quarters.</w:t>
      </w:r>
    </w:p>
    <w:bookmarkEnd w:id="12"/>
    <w:bookmarkStart w:id="13" w:name="what-analysts-are-debating-right-now"/>
    <w:p>
      <w:pPr>
        <w:pStyle w:val="Heading2"/>
      </w:pPr>
      <w:r>
        <w:t xml:space="preserve">What Analysts Are Debating Right Now</w:t>
      </w:r>
    </w:p>
    <w:p>
      <w:pPr>
        <w:pStyle w:val="FirstParagraph"/>
      </w:pPr>
      <w:r>
        <w:t xml:space="preserve">Sentiment has genuinely split in the run-up to this print. Barclays downgraded Travelers to Underweight on June 12, 2026, citing slowing growth and margin pressures, while Piper Sandler reiterated Overweight based on underwriting support and recent performance. That divergence has continued into earnings week: TD Cowen downgraded to Sell (PT $297) on July 13, Evercore ISI moved from Outperform to In-Line (raising its PT to</w:t>
      </w:r>
      <w:r>
        <w:t xml:space="preserve"> </w:t>
      </w:r>
      <m:oMath>
        <m:r>
          <m:t>329</m:t>
        </m:r>
        <m:r>
          <m:rPr>
            <m:sty m:val="p"/>
          </m:rPr>
          <m:t>)</m:t>
        </m:r>
        <m:r>
          <m:t>o</m:t>
        </m:r>
        <m:r>
          <m:t>n</m:t>
        </m:r>
        <m:r>
          <m:t>J</m:t>
        </m:r>
        <m:r>
          <m:t>u</m:t>
        </m:r>
        <m:r>
          <m:t>l</m:t>
        </m:r>
        <m:r>
          <m:t>y</m:t>
        </m:r>
        <m:r>
          <m:t>10</m:t>
        </m:r>
        <m:r>
          <m:rPr>
            <m:sty m:val="p"/>
          </m:rPr>
          <m:t>,</m:t>
        </m:r>
        <m:r>
          <m:t>a</m:t>
        </m:r>
        <m:r>
          <m:t>n</m:t>
        </m:r>
        <m:r>
          <m:t>d</m:t>
        </m:r>
        <m:r>
          <m:t>T</m:t>
        </m:r>
        <m:r>
          <m:t>r</m:t>
        </m:r>
        <m:r>
          <m:t>u</m:t>
        </m:r>
        <m:r>
          <m:t>i</m:t>
        </m:r>
        <m:r>
          <m:t>s</m:t>
        </m:r>
        <m:r>
          <m:t>t</m:t>
        </m:r>
        <m:r>
          <m:t>i</m:t>
        </m:r>
        <m:r>
          <m:t>n</m:t>
        </m:r>
        <m:r>
          <m:t>i</m:t>
        </m:r>
        <m:r>
          <m:t>t</m:t>
        </m:r>
        <m:r>
          <m:t>i</m:t>
        </m:r>
        <m:r>
          <m:t>a</m:t>
        </m:r>
        <m:r>
          <m:t>t</m:t>
        </m:r>
        <m:r>
          <m:t>e</m:t>
        </m:r>
        <m:r>
          <m:t>d</m:t>
        </m:r>
        <m:r>
          <m:t>a</m:t>
        </m:r>
        <m:r>
          <m:t>t</m:t>
        </m:r>
        <m:r>
          <m:t>H</m:t>
        </m:r>
        <m:r>
          <m:t>o</m:t>
        </m:r>
        <m:r>
          <m:t>l</m:t>
        </m:r>
        <m:r>
          <m:t>d</m:t>
        </m:r>
        <m:r>
          <m:rPr>
            <m:sty m:val="p"/>
          </m:rPr>
          <m:t>(</m:t>
        </m:r>
      </m:oMath>
      <w:r>
        <w:t xml:space="preserve">395), while Wells Fargo raised its PT to $334 (still Equal-Weight) and Cantor Fitzgerald raised its PT to $360 while maintaining Overweight — a genuinely mixed picture heading into the print.</w:t>
      </w:r>
    </w:p>
    <w:bookmarkEnd w:id="13"/>
    <w:bookmarkStart w:id="14" w:name="stock-setup"/>
    <w:p>
      <w:pPr>
        <w:pStyle w:val="Heading2"/>
      </w:pPr>
      <w:r>
        <w:t xml:space="preserve">Stock Setup</w:t>
      </w:r>
    </w:p>
    <w:p>
      <w:pPr>
        <w:pStyle w:val="FirstParagraph"/>
      </w:pPr>
      <w:r>
        <w:t xml:space="preserve">TRV shares have run hard into the print, rallying from roughly $290 in early April to the</w:t>
      </w:r>
      <w:r>
        <w:t xml:space="preserve"> </w:t>
      </w:r>
      <m:oMath>
        <m:r>
          <m:t>330</m:t>
        </m:r>
        <m:r>
          <m:t>s</m:t>
        </m:r>
        <m:r>
          <m:rPr>
            <m:sty m:val="p"/>
          </m:rPr>
          <m:t>–</m:t>
        </m:r>
      </m:oMath>
      <w:r>
        <w:t xml:space="preserve">340s in July, including a notable acceleration from ~$310 in late June to over $340 by early July. That means the stock is trading near highs on a print with unusually wide estimate dispersion — asymmetric risk if catastrophe losses or underlying margins disappoint, but also room to run if the quarter reaffirms the underwriting/investment "engine" narrative that's carried the stock over the past year.</w:t>
      </w:r>
    </w:p>
    <w:bookmarkEnd w:id="14"/>
    <w:bookmarkStart w:id="15" w:name="bottom-line-what-to-watch-on-the-call"/>
    <w:p>
      <w:pPr>
        <w:pStyle w:val="Heading2"/>
      </w:pPr>
      <w:r>
        <w:t xml:space="preserve">Bottom Line: What to Watch on the Call</w:t>
      </w:r>
    </w:p>
    <w:p>
      <w:pPr>
        <w:pStyle w:val="Compact"/>
        <w:numPr>
          <w:ilvl w:val="0"/>
          <w:numId w:val="1003"/>
        </w:numPr>
      </w:pPr>
      <w:r>
        <w:rPr>
          <w:b/>
          <w:bCs/>
        </w:rPr>
        <w:t xml:space="preserve">Catastrophe losses vs. Q2 2025's $927M</w:t>
      </w:r>
      <w:r>
        <w:t xml:space="preserve"> </w:t>
      </w:r>
      <w:r>
        <w:t xml:space="preserve">— the single biggest swing factor, given the active June SCS outbreak.</w:t>
      </w:r>
    </w:p>
    <w:p>
      <w:pPr>
        <w:pStyle w:val="Compact"/>
        <w:numPr>
          <w:ilvl w:val="0"/>
          <w:numId w:val="1003"/>
        </w:numPr>
      </w:pPr>
      <w:r>
        <w:rPr>
          <w:b/>
          <w:bCs/>
        </w:rPr>
        <w:t xml:space="preserve">Underlying combined ratio trajectory</w:t>
      </w:r>
      <w:r>
        <w:t xml:space="preserve"> </w:t>
      </w:r>
      <w:r>
        <w:t xml:space="preserve">by segment, especially whether Business Insurance property/casualty pricing is keeping pace with loss trend and whether Personal Insurance growth initiatives are pressuring underlying margins.</w:t>
      </w:r>
    </w:p>
    <w:p>
      <w:pPr>
        <w:pStyle w:val="Compact"/>
        <w:numPr>
          <w:ilvl w:val="0"/>
          <w:numId w:val="1003"/>
        </w:numPr>
      </w:pPr>
      <w:r>
        <w:rPr>
          <w:b/>
          <w:bCs/>
        </w:rPr>
        <w:t xml:space="preserve">Reserve development</w:t>
      </w:r>
      <w:r>
        <w:t xml:space="preserve"> </w:t>
      </w:r>
      <w:r>
        <w:t xml:space="preserve">— magnitude and sustainability of favorable prior-year development that has been propping up recent quarters.</w:t>
      </w:r>
    </w:p>
    <w:p>
      <w:pPr>
        <w:pStyle w:val="Compact"/>
        <w:numPr>
          <w:ilvl w:val="0"/>
          <w:numId w:val="1003"/>
        </w:numPr>
      </w:pPr>
      <w:r>
        <w:rPr>
          <w:b/>
          <w:bCs/>
        </w:rPr>
        <w:t xml:space="preserve">NII from alternatives</w:t>
      </w:r>
      <w:r>
        <w:t xml:space="preserve"> </w:t>
      </w:r>
      <w:r>
        <w:t xml:space="preserve">— first look at the Q1 equity market lag effect flowing through.</w:t>
      </w:r>
    </w:p>
    <w:p>
      <w:pPr>
        <w:pStyle w:val="Compact"/>
        <w:numPr>
          <w:ilvl w:val="0"/>
          <w:numId w:val="1003"/>
        </w:numPr>
      </w:pPr>
      <w:r>
        <w:rPr>
          <w:b/>
          <w:bCs/>
        </w:rPr>
        <w:t xml:space="preserve">Capital return pace</w:t>
      </w:r>
      <w:r>
        <w:t xml:space="preserve"> </w:t>
      </w:r>
      <w:r>
        <w:t xml:space="preserve">— buyback cadence off the $5.2B remaining authorization, and any updated tone on M&amp;A given Alan Schnitzer's standing "always looking" commentary.</w:t>
      </w:r>
    </w:p>
    <w:p>
      <w:pPr>
        <w:pStyle w:val="Compact"/>
        <w:numPr>
          <w:ilvl w:val="0"/>
          <w:numId w:val="1003"/>
        </w:numPr>
      </w:pPr>
      <w:r>
        <w:rPr>
          <w:b/>
          <w:bCs/>
        </w:rPr>
        <w:t xml:space="preserve">Full-year 2026 combined ratio / expense ratio guidance</w:t>
      </w:r>
      <w:r>
        <w:t xml:space="preserve"> </w:t>
      </w:r>
      <w:r>
        <w:t xml:space="preserve">— any revision from the 28.5% expense ratio target.</w:t>
      </w:r>
    </w:p>
    <w:p>
      <w:pPr>
        <w:pStyle w:val="FirstParagraph"/>
      </w:pPr>
      <w:r>
        <w:t xml:space="preserve">Given the setup — tough comp, active but not extreme cat quarter, split analyst sentiment, and a stock near highs — this print is likely to be judged less on the headline EPS beat/miss and more on whether underlying underwriting margins and pricing discipline are holding up across all three segments.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2026-07-17T00:09:40Z</dcterms:created>
  <dcterms:modified xsi:type="dcterms:W3CDTF">2026-07-17T00:09:40Z</dcterms:modified>
</cp:coreProperties>
</file>

<file path=docProps/custom.xml><?xml version="1.0" encoding="utf-8"?>
<Properties xmlns="http://schemas.openxmlformats.org/officeDocument/2006/custom-properties" xmlns:vt="http://schemas.openxmlformats.org/officeDocument/2006/docPropsVTypes"/>
</file>