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rv-earnings-predictions--2026-07-17"/>
    <w:p>
      <w:pPr>
        <w:pStyle w:val="Heading1"/>
      </w:pPr>
      <w:r>
        <w:t xml:space="preserve">TRV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~$5.48 vs. cons $5.34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Catastrophe losses, pre-tax (lower is better)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~$1.31B vs. cons $1.37B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combined ratio (lower is better)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~85.1% vs. cons 85.4%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After-tax fixed-income net investment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~$850M vs. cons $840M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After-tax fixed-income net investment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~$880M vs. cons $870M (Q4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Underwriting expense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~28.5% vs. cons 28.5%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The initial benefit from roughly ~</w:t>
            </w:r>
            <m:oMath>
              <m:r>
                <m:t>60</m:t>
              </m:r>
              <m:r>
                <m:t>M</m:t>
              </m:r>
              <m:r>
                <m:t>p</m:t>
              </m:r>
              <m:r>
                <m:t>r</m:t>
              </m:r>
              <m:r>
                <m:t>e</m:t>
              </m:r>
              <m:r>
                <m:t>t</m:t>
              </m:r>
              <m:r>
                <m:t>a</m:t>
              </m:r>
              <m:r>
                <m:t>x</m:t>
              </m:r>
              <m:r>
                <m:t>o</m:t>
              </m:r>
              <m:r>
                <m:t>f</m:t>
              </m:r>
              <m:r>
                <m:t>c</m:t>
              </m:r>
              <m:r>
                <m:t>a</m:t>
              </m:r>
              <m:r>
                <m:t>t</m:t>
              </m:r>
              <m:r>
                <m:t>a</m:t>
              </m:r>
              <m:r>
                <m:t>s</m:t>
              </m:r>
              <m:r>
                <m:t>t</m:t>
              </m:r>
              <m:r>
                <m:t>r</m:t>
              </m:r>
              <m:r>
                <m:t>o</m:t>
              </m:r>
              <m:r>
                <m:t>p</m:t>
              </m:r>
              <m:r>
                <m:t>h</m:t>
              </m:r>
              <m:r>
                <m:t>e</m:t>
              </m:r>
              <m:r>
                <m:t>f</m:t>
              </m:r>
              <m:r>
                <m:t>a</m:t>
              </m:r>
              <m:r>
                <m:t>v</m:t>
              </m:r>
              <m:r>
                <m:t>o</m:t>
              </m:r>
              <m:r>
                <m:t>r</m:t>
              </m:r>
              <m:r>
                <m:t>a</m:t>
              </m:r>
              <m:r>
                <m:t>b</m:t>
              </m:r>
              <m:r>
                <m:t>i</m:t>
              </m:r>
              <m:r>
                <m:t>l</m:t>
              </m:r>
              <m:r>
                <m:t>i</m:t>
              </m:r>
              <m:r>
                <m:t>t</m:t>
              </m:r>
              <m:r>
                <m:t>y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f</m:t>
              </m:r>
              <m:r>
                <m:t>a</m:t>
              </m:r>
              <m:r>
                <m:t>d</m:t>
              </m:r>
              <m:r>
                <m:t>e</m:t>
              </m:r>
              <m:r>
                <m:t>b</m:t>
              </m:r>
              <m:r>
                <m:t>e</m:t>
              </m:r>
              <m:r>
                <m:t>c</m:t>
              </m:r>
              <m:r>
                <m:t>a</m:t>
              </m:r>
              <m:r>
                <m:t>u</m:t>
              </m:r>
              <m:r>
                <m:t>s</m:t>
              </m:r>
              <m:r>
                <m:t>e</m:t>
              </m:r>
              <m:r>
                <m:t>i</m:t>
              </m:r>
              <m:r>
                <m:t>t</m:t>
              </m:r>
              <m:r>
                <m:t>i</m:t>
              </m:r>
              <m:r>
                <m:t>s</m:t>
              </m:r>
              <m:r>
                <m:t>n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e</m:t>
              </m:r>
              <m:r>
                <m:t>c</m:t>
              </m:r>
              <m:r>
                <m:t>u</m:t>
              </m:r>
              <m:r>
                <m:t>r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;</m:t>
              </m:r>
              <m:r>
                <m:t>a</m:t>
              </m:r>
              <m:r>
                <m:t>p</m:t>
              </m:r>
              <m:r>
                <m:t>p</m:t>
              </m:r>
              <m:r>
                <m:t>r</m:t>
              </m:r>
              <m:r>
                <m:t>o</m:t>
              </m:r>
              <m:r>
                <m:t>x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10M upside to consensus fixed-income NII in each of Q3 and Q4 provides only modest support to out-period EPS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2026-07-17T00:05:58Z</dcterms:created>
  <dcterms:modified xsi:type="dcterms:W3CDTF">2026-07-17T00:05:58Z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