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travelers-trv-2026-q2-earnings-preview"/>
    <w:p>
      <w:pPr>
        <w:pStyle w:val="Heading1"/>
      </w:pPr>
      <w:r>
        <w:t xml:space="preserve">Travelers (TRV) 2026 Q2 Earnings Preview</w:t>
      </w:r>
    </w:p>
    <w:p>
      <w:pPr>
        <w:pStyle w:val="FirstParagraph"/>
      </w:pPr>
      <w:r>
        <w:rPr>
          <w:b/>
          <w:bCs/>
        </w:rPr>
        <w:t xml:space="preserve">Report:</w:t>
      </w:r>
      <w:r>
        <w:t xml:space="preserve"> </w:t>
      </w:r>
      <w:r>
        <w:t xml:space="preserve">Friday, July 17, 2026, before the market opens</w:t>
      </w:r>
      <w:r>
        <w:br/>
      </w:r>
      <w:r>
        <w:rPr>
          <w:b/>
          <w:bCs/>
        </w:rPr>
        <w:t xml:space="preserve">Conference call:</w:t>
      </w:r>
      <w:r>
        <w:t xml:space="preserve"> </w:t>
      </w:r>
      <w:r>
        <w:t xml:space="preserve">9:00 a.m. ET</w:t>
      </w:r>
      <w:r>
        <w:br/>
      </w:r>
      <w:r>
        <w:rPr>
          <w:b/>
          <w:bCs/>
        </w:rPr>
        <w:t xml:space="preserve">Reference consensus:</w:t>
      </w:r>
      <w:r>
        <w:t xml:space="preserve"> </w:t>
      </w:r>
      <w:r>
        <w:t xml:space="preserve">Approximately</w:t>
      </w:r>
      <w:r>
        <w:t xml:space="preserve"> </w:t>
      </w:r>
      <m:oMath>
        <m:r>
          <m:t>5.34</m:t>
        </m:r>
        <m:r>
          <m:rPr>
            <m:sty m:val="p"/>
          </m:rPr>
          <m:t>–</m:t>
        </m:r>
      </m:oMath>
      <w:r>
        <w:rPr>
          <w:b/>
          <w:bCs/>
        </w:rPr>
        <w:t xml:space="preserve">5.41 of core EPS</w:t>
      </w:r>
      <w:r>
        <w:t xml:space="preserve">, versus</w:t>
      </w:r>
      <w:r>
        <w:t xml:space="preserve"> </w:t>
      </w:r>
      <m:oMath>
        <m:r>
          <m:t>6.51</m:t>
        </m:r>
        <m:r>
          <m:rPr>
            <m:sty m:val="p"/>
          </m:rPr>
          <m:t>*</m:t>
        </m:r>
        <m:r>
          <m:rPr>
            <m:sty m:val="p"/>
          </m:rPr>
          <m:t>*</m:t>
        </m:r>
        <m:r>
          <m:t>a</m:t>
        </m:r>
        <m:r>
          <m:t>y</m:t>
        </m:r>
        <m:r>
          <m:t>e</m:t>
        </m:r>
        <m:r>
          <m:t>a</m:t>
        </m:r>
        <m:r>
          <m:t>r</m:t>
        </m:r>
        <m:r>
          <m:t>a</m:t>
        </m:r>
        <m:r>
          <m:t>g</m:t>
        </m:r>
        <m:r>
          <m:t>o</m:t>
        </m:r>
        <m:r>
          <m:rPr>
            <m:sty m:val="p"/>
          </m:rPr>
          <m:t>.</m:t>
        </m:r>
        <m:r>
          <m:t>S</m:t>
        </m:r>
        <m:r>
          <m:t>o</m:t>
        </m:r>
        <m:r>
          <m:t>m</m:t>
        </m:r>
        <m:r>
          <m:t>e</m:t>
        </m:r>
        <m:r>
          <m:t>s</m:t>
        </m:r>
        <m:r>
          <m:t>e</m:t>
        </m:r>
        <m:r>
          <m:t>r</m:t>
        </m:r>
        <m:r>
          <m:t>v</m:t>
        </m:r>
        <m:r>
          <m:t>i</m:t>
        </m:r>
        <m:r>
          <m:t>c</m:t>
        </m:r>
        <m:r>
          <m:t>e</m:t>
        </m:r>
        <m:r>
          <m:t>s</m:t>
        </m:r>
        <m:r>
          <m:t>s</m:t>
        </m:r>
        <m:r>
          <m:t>h</m:t>
        </m:r>
        <m:r>
          <m:t>o</m:t>
        </m:r>
        <m:r>
          <m:t>w</m:t>
        </m:r>
        <m:r>
          <m:t>e</m:t>
        </m:r>
        <m:r>
          <m:t>x</m:t>
        </m:r>
        <m:r>
          <m:t>p</m:t>
        </m:r>
        <m:r>
          <m:t>e</m:t>
        </m:r>
        <m:r>
          <m:t>c</m:t>
        </m:r>
        <m:r>
          <m:t>t</m:t>
        </m:r>
        <m:r>
          <m:t>e</m:t>
        </m:r>
        <m:r>
          <m:t>d</m:t>
        </m:r>
        <m:r>
          <m:t>r</m:t>
        </m:r>
        <m:r>
          <m:t>e</m:t>
        </m:r>
        <m:r>
          <m:t>v</m:t>
        </m:r>
        <m:r>
          <m:t>e</m:t>
        </m:r>
        <m:r>
          <m:t>n</m:t>
        </m:r>
        <m:r>
          <m:t>u</m:t>
        </m:r>
        <m:r>
          <m:t>e</m:t>
        </m:r>
        <m:r>
          <m:t>n</m:t>
        </m:r>
        <m:r>
          <m:t>e</m:t>
        </m:r>
        <m:r>
          <m:t>a</m:t>
        </m:r>
        <m:r>
          <m:t>r</m:t>
        </m:r>
        <m:r>
          <m:rPr>
            <m:sty m:val="p"/>
          </m:rPr>
          <m:t>*</m:t>
        </m:r>
        <m:r>
          <m:rPr>
            <m:sty m:val="p"/>
          </m:rPr>
          <m:t>*</m:t>
        </m:r>
      </m:oMath>
      <w:r>
        <w:rPr>
          <w:b/>
          <w:bCs/>
        </w:rPr>
        <w:t xml:space="preserve">11.26 billion</w:t>
      </w:r>
      <w:r>
        <w:t xml:space="preserve">, although revenue definitions can vary across insurance-data providers. (</w:t>
      </w:r>
      <w:hyperlink r:id="rId9">
        <w:r>
          <w:rPr>
            <w:rStyle w:val="Hyperlink"/>
          </w:rPr>
          <w:t xml:space="preserve">businesswire.com</w:t>
        </w:r>
      </w:hyperlink>
      <w:r>
        <w:t xml:space="preserve">)</w:t>
      </w:r>
    </w:p>
    <w:bookmarkStart w:id="10" w:name="investment-view-going-into-the-print"/>
    <w:p>
      <w:pPr>
        <w:pStyle w:val="Heading2"/>
      </w:pPr>
      <w:r>
        <w:t xml:space="preserve">Investment view going into the print</w:t>
      </w:r>
    </w:p>
    <w:p>
      <w:pPr>
        <w:pStyle w:val="FirstParagraph"/>
      </w:pPr>
      <w:r>
        <w:t xml:space="preserve">Travelers enters Q2 with excellent underlying profitability, growing fixed-income investment income and a substantially lower share count. The main question is not whether the core franchise remains healthy—it does—but whether second-quarter catastrophe losses land below, near or above the company’s relatively high seasonal plan.</w:t>
      </w:r>
    </w:p>
    <w:p>
      <w:pPr>
        <w:pStyle w:val="BodyText"/>
      </w:pPr>
      <w:r>
        <w:t xml:space="preserve">A result near consensus would likely reflect:</w:t>
      </w:r>
    </w:p>
    <w:p>
      <w:pPr>
        <w:pStyle w:val="Compact"/>
        <w:numPr>
          <w:ilvl w:val="0"/>
          <w:numId w:val="1001"/>
        </w:numPr>
      </w:pPr>
      <w:r>
        <w:t xml:space="preserve">Underlying underwriting margins remaining around recent excellent levels.</w:t>
      </w:r>
    </w:p>
    <w:p>
      <w:pPr>
        <w:pStyle w:val="Compact"/>
        <w:numPr>
          <w:ilvl w:val="0"/>
          <w:numId w:val="1001"/>
        </w:numPr>
      </w:pPr>
      <w:r>
        <w:t xml:space="preserve">Catastrophe losses materially above last year’s unusually favorable Q2.</w:t>
      </w:r>
    </w:p>
    <w:p>
      <w:pPr>
        <w:pStyle w:val="Compact"/>
        <w:numPr>
          <w:ilvl w:val="0"/>
          <w:numId w:val="1001"/>
        </w:numPr>
      </w:pPr>
      <w:r>
        <w:t xml:space="preserve">Higher fixed-income investment income.</w:t>
      </w:r>
    </w:p>
    <w:p>
      <w:pPr>
        <w:pStyle w:val="Compact"/>
        <w:numPr>
          <w:ilvl w:val="0"/>
          <w:numId w:val="1001"/>
        </w:numPr>
      </w:pPr>
      <w:r>
        <w:t xml:space="preserve">A modest drag from alternative investments.</w:t>
      </w:r>
    </w:p>
    <w:p>
      <w:pPr>
        <w:pStyle w:val="Compact"/>
        <w:numPr>
          <w:ilvl w:val="0"/>
          <w:numId w:val="1001"/>
        </w:numPr>
      </w:pPr>
      <w:r>
        <w:t xml:space="preserve">Continued per-share support from aggressive repurchases.</w:t>
      </w:r>
    </w:p>
    <w:p>
      <w:pPr>
        <w:pStyle w:val="FirstParagraph"/>
      </w:pPr>
      <w:r>
        <w:t xml:space="preserve">The setup is less forgiving than earlier in the year. At approximately</w:t>
      </w:r>
      <w:r>
        <w:t xml:space="preserve"> </w:t>
      </w:r>
      <w:r>
        <w:rPr>
          <w:b/>
          <w:bCs/>
        </w:rPr>
        <w:t xml:space="preserve">$338</w:t>
      </w:r>
      <w:r>
        <w:t xml:space="preserve">, TRV has risen about</w:t>
      </w:r>
      <w:r>
        <w:t xml:space="preserve"> </w:t>
      </w:r>
      <w:r>
        <w:rPr>
          <w:b/>
          <w:bCs/>
        </w:rPr>
        <w:t xml:space="preserve">16% year to date</w:t>
      </w:r>
      <w:r>
        <w:t xml:space="preserve"> </w:t>
      </w:r>
      <w:r>
        <w:t xml:space="preserve">and roughly</w:t>
      </w:r>
      <w:r>
        <w:t xml:space="preserve"> </w:t>
      </w:r>
      <w:r>
        <w:rPr>
          <w:b/>
          <w:bCs/>
        </w:rPr>
        <w:t xml:space="preserve">34% over the past year</w:t>
      </w:r>
      <w:r>
        <w:t xml:space="preserve">, outperforming the broader market. Investors therefore may require not just an EPS beat, but evidence that premium growth, pricing and underwriting returns can remain strong as portions of the commercial and personal-lines pricing cycle normalize.</w:t>
      </w:r>
    </w:p>
    <w:bookmarkEnd w:id="10"/>
    <w:bookmarkStart w:id="14" w:name="X31e8fcb2c6b1a1b4e2c58b3c8f64d96911f62ef"/>
    <w:p>
      <w:pPr>
        <w:pStyle w:val="Heading2"/>
      </w:pPr>
      <w:r>
        <w:t xml:space="preserve">The catastrophe-loss bridge largely explains consensus</w:t>
      </w:r>
    </w:p>
    <w:p>
      <w:pPr>
        <w:pStyle w:val="FirstParagraph"/>
      </w:pPr>
      <w:r>
        <w:t xml:space="preserve">Travelers’ own 2026 plan assumes catastrophe losses equal to</w:t>
      </w:r>
      <w:r>
        <w:t xml:space="preserve"> </w:t>
      </w:r>
      <w:r>
        <w:rPr>
          <w:b/>
          <w:bCs/>
        </w:rPr>
        <w:t xml:space="preserve">12.6 combined-ratio points in Q2</w:t>
      </w:r>
      <w:r>
        <w:t xml:space="preserve">, its highest planned quarter of the year. That compares with</w:t>
      </w:r>
      <w:r>
        <w:t xml:space="preserve"> </w:t>
      </w:r>
      <w:r>
        <w:rPr>
          <w:b/>
          <w:bCs/>
        </w:rPr>
        <w:t xml:space="preserve">8.5 points</w:t>
      </w:r>
      <w:r>
        <w:t xml:space="preserve">, or $927 million pretax, in Q2 2025. Travelers’ Q1 catastrophe ratio was 7.2 points, nearly matching its 7.0-point plan, so investors should not assume the annual plan contains a large cushion. (</w:t>
      </w:r>
      <w:hyperlink r:id="rId11">
        <w:r>
          <w:rPr>
            <w:rStyle w:val="Hyperlink"/>
          </w:rPr>
          <w:t xml:space="preserve">s26.q4cdn.com</w:t>
        </w:r>
      </w:hyperlink>
      <w:r>
        <w:t xml:space="preserve">)</w:t>
      </w:r>
    </w:p>
    <w:p>
      <w:pPr>
        <w:pStyle w:val="BodyText"/>
      </w:pPr>
      <w:r>
        <w:t xml:space="preserve">The 4.1-point difference between the 2026 plan and last year’s actual Q2 catastrophe ratio could represent approximately</w:t>
      </w:r>
      <w:r>
        <w:t xml:space="preserve"> </w:t>
      </w:r>
      <w:r>
        <w:rPr>
          <w:b/>
          <w:bCs/>
        </w:rPr>
        <w:t xml:space="preserve">$1.5 per share of after-tax earnings pressure</w:t>
      </w:r>
      <w:r>
        <w:t xml:space="preserve">, using a roughly $10.6 billion earned-premium base and the recent share count. That bridge alone takes last year’s $6.51 of core EPS close to $5.00 before considering higher investment income, buybacks and changes in underlying underwriting results.</w:t>
      </w:r>
    </w:p>
    <w:p>
      <w:pPr>
        <w:pStyle w:val="BodyText"/>
      </w:pPr>
      <w:r>
        <w:t xml:space="preserve">This makes the consensus around $5.3 broadly logical:</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Illustrative bridge from Q2 2025</w:t>
            </w:r>
          </w:p>
        </w:tc>
        <w:tc>
          <w:tcPr/>
          <w:p>
            <w:pPr>
              <w:pStyle w:val="Compact"/>
              <w:jc w:val="right"/>
            </w:pPr>
            <w:r>
              <w:t xml:space="preserve">Approximate EPS effect</w:t>
            </w:r>
          </w:p>
        </w:tc>
      </w:tr>
      <w:tr>
        <w:tc>
          <w:tcPr/>
          <w:p>
            <w:pPr>
              <w:pStyle w:val="Compact"/>
            </w:pPr>
            <w:r>
              <w:t xml:space="preserve">Q2 2025 core EPS</w:t>
            </w:r>
          </w:p>
        </w:tc>
        <w:tc>
          <w:tcPr/>
          <w:p>
            <w:pPr>
              <w:pStyle w:val="Compact"/>
              <w:jc w:val="right"/>
            </w:pPr>
            <w:r>
              <w:rPr>
                <w:b/>
                <w:bCs/>
              </w:rPr>
              <w:t xml:space="preserve">$6.51</w:t>
            </w:r>
          </w:p>
        </w:tc>
      </w:tr>
      <w:tr>
        <w:tc>
          <w:tcPr/>
          <w:p>
            <w:pPr>
              <w:pStyle w:val="Compact"/>
            </w:pPr>
            <w:r>
              <w:t xml:space="preserve">Higher catastrophe ratio if 2026 plan is achieved</w:t>
            </w:r>
          </w:p>
        </w:tc>
        <w:tc>
          <w:tcPr/>
          <w:p>
            <w:pPr>
              <w:pStyle w:val="Compact"/>
              <w:jc w:val="right"/>
            </w:pPr>
            <w:r>
              <w:rPr>
                <w:b/>
                <w:bCs/>
              </w:rPr>
              <w:t xml:space="preserve">~($1.50)</w:t>
            </w:r>
          </w:p>
        </w:tc>
      </w:tr>
      <w:tr>
        <w:tc>
          <w:tcPr/>
          <w:p>
            <w:pPr>
              <w:pStyle w:val="Compact"/>
            </w:pPr>
            <w:r>
              <w:t xml:space="preserve">Higher fixed-income NII</w:t>
            </w:r>
          </w:p>
        </w:tc>
        <w:tc>
          <w:tcPr/>
          <w:p>
            <w:pPr>
              <w:pStyle w:val="Compact"/>
              <w:jc w:val="right"/>
            </w:pPr>
            <w:r>
              <w:rPr>
                <w:b/>
                <w:bCs/>
              </w:rPr>
              <w:t xml:space="preserve">~</w:t>
            </w:r>
            <m:oMath>
              <m:r>
                <m:t>0.15</m:t>
              </m:r>
              <m:r>
                <m:rPr>
                  <m:sty m:val="p"/>
                </m:rPr>
                <m:t>–</m:t>
              </m:r>
            </m:oMath>
            <w:r>
              <w:rPr>
                <w:b/>
                <w:bCs/>
              </w:rPr>
              <w:t xml:space="preserve">0.20</w:t>
            </w:r>
          </w:p>
        </w:tc>
      </w:tr>
      <w:tr>
        <w:tc>
          <w:tcPr/>
          <w:p>
            <w:pPr>
              <w:pStyle w:val="Compact"/>
            </w:pPr>
            <w:r>
              <w:t xml:space="preserve">Lower average share count</w:t>
            </w:r>
          </w:p>
        </w:tc>
        <w:tc>
          <w:tcPr/>
          <w:p>
            <w:pPr>
              <w:pStyle w:val="Compact"/>
              <w:jc w:val="right"/>
            </w:pPr>
            <w:r>
              <w:rPr>
                <w:b/>
                <w:bCs/>
              </w:rPr>
              <w:t xml:space="preserve">Positive</w:t>
            </w:r>
          </w:p>
        </w:tc>
      </w:tr>
      <w:tr>
        <w:tc>
          <w:tcPr/>
          <w:p>
            <w:pPr>
              <w:pStyle w:val="Compact"/>
            </w:pPr>
            <w:r>
              <w:t xml:space="preserve">Alternative-investment lag</w:t>
            </w:r>
          </w:p>
        </w:tc>
        <w:tc>
          <w:tcPr/>
          <w:p>
            <w:pPr>
              <w:pStyle w:val="Compact"/>
              <w:jc w:val="right"/>
            </w:pPr>
            <w:r>
              <w:rPr>
                <w:b/>
                <w:bCs/>
              </w:rPr>
              <w:t xml:space="preserve">Negative/uncertain</w:t>
            </w:r>
          </w:p>
        </w:tc>
      </w:tr>
      <w:tr>
        <w:tc>
          <w:tcPr/>
          <w:p>
            <w:pPr>
              <w:pStyle w:val="Compact"/>
            </w:pPr>
            <w:r>
              <w:t xml:space="preserve">Underlying underwriting and reserve development</w:t>
            </w:r>
          </w:p>
        </w:tc>
        <w:tc>
          <w:tcPr/>
          <w:p>
            <w:pPr>
              <w:pStyle w:val="Compact"/>
              <w:jc w:val="right"/>
            </w:pPr>
            <w:r>
              <w:rPr>
                <w:b/>
                <w:bCs/>
              </w:rPr>
              <w:t xml:space="preserve">Key swing factors</w:t>
            </w:r>
          </w:p>
        </w:tc>
      </w:tr>
    </w:tbl>
    <w:p>
      <w:pPr>
        <w:pStyle w:val="BodyText"/>
      </w:pPr>
      <w:r>
        <w:t xml:space="preserve">Industry information suggests North American convective-storm activity remained meaningful during the first half, although aggregate global catastrophe losses were below longer-term averages. Allstate, for example, disclosed $1.72 billion of Q2 catastrophe losses, indicating that weather losses remained significant for large personal-lines carriers. Those disclosures do not translate directly to Travelers because the companies have different geographic, product and reinsurance mixes. (</w:t>
      </w:r>
      <w:hyperlink r:id="rId12">
        <w:r>
          <w:rPr>
            <w:rStyle w:val="Hyperlink"/>
          </w:rPr>
          <w:t xml:space="preserve">ajg.com</w:t>
        </w:r>
      </w:hyperlink>
      <w:r>
        <w:t xml:space="preserve">)</w:t>
      </w:r>
    </w:p>
    <w:bookmarkStart w:id="13" w:name="Xea393460512f7d305e69c91bad1abdc9d0ac935"/>
    <w:p>
      <w:pPr>
        <w:pStyle w:val="Heading3"/>
      </w:pPr>
      <w:r>
        <w:t xml:space="preserve">Cat-loss thresholds to frame the reaction</w:t>
      </w:r>
    </w:p>
    <w:p>
      <w:pPr>
        <w:pStyle w:val="Compact"/>
        <w:numPr>
          <w:ilvl w:val="0"/>
          <w:numId w:val="1002"/>
        </w:numPr>
      </w:pPr>
      <w:r>
        <w:rPr>
          <w:b/>
          <w:bCs/>
        </w:rPr>
        <w:t xml:space="preserve">Below 10 catastrophe points:</w:t>
      </w:r>
      <w:r>
        <w:t xml:space="preserve"> </w:t>
      </w:r>
      <w:r>
        <w:t xml:space="preserve">Likely a meaningful positive surprise, all else equal.</w:t>
      </w:r>
    </w:p>
    <w:p>
      <w:pPr>
        <w:pStyle w:val="Compact"/>
        <w:numPr>
          <w:ilvl w:val="0"/>
          <w:numId w:val="1002"/>
        </w:numPr>
      </w:pPr>
      <w:r>
        <w:rPr>
          <w:b/>
          <w:bCs/>
        </w:rPr>
        <w:t xml:space="preserve">Approximately 10–13 points:</w:t>
      </w:r>
      <w:r>
        <w:t xml:space="preserve"> </w:t>
      </w:r>
      <w:r>
        <w:t xml:space="preserve">Broadly consistent with a healthy quarter and management’s plan.</w:t>
      </w:r>
    </w:p>
    <w:p>
      <w:pPr>
        <w:pStyle w:val="Compact"/>
        <w:numPr>
          <w:ilvl w:val="0"/>
          <w:numId w:val="1002"/>
        </w:numPr>
      </w:pPr>
      <w:r>
        <w:rPr>
          <w:b/>
          <w:bCs/>
        </w:rPr>
        <w:t xml:space="preserve">Above 13 points:</w:t>
      </w:r>
      <w:r>
        <w:t xml:space="preserve"> </w:t>
      </w:r>
      <w:r>
        <w:t xml:space="preserve">Would probably require stronger underlying margins, reserve releases or investment income to protect consensus EPS.</w:t>
      </w:r>
    </w:p>
    <w:p>
      <w:pPr>
        <w:pStyle w:val="Compact"/>
        <w:numPr>
          <w:ilvl w:val="0"/>
          <w:numId w:val="1002"/>
        </w:numPr>
      </w:pPr>
      <w:r>
        <w:rPr>
          <w:b/>
          <w:bCs/>
        </w:rPr>
        <w:t xml:space="preserve">Well above plan:</w:t>
      </w:r>
      <w:r>
        <w:t xml:space="preserve"> </w:t>
      </w:r>
      <w:r>
        <w:t xml:space="preserve">Likely the principal downside scenario for the stock.</w:t>
      </w:r>
    </w:p>
    <w:bookmarkEnd w:id="13"/>
    <w:bookmarkEnd w:id="14"/>
    <w:bookmarkStart w:id="16" w:name="X70e965fbdfbbcd7dc69e1abf5a16916b678a0a5"/>
    <w:p>
      <w:pPr>
        <w:pStyle w:val="Heading2"/>
      </w:pPr>
      <w:r>
        <w:t xml:space="preserve">Underlying underwriting performance is the more important long-term signal</w:t>
      </w:r>
    </w:p>
    <w:p>
      <w:pPr>
        <w:pStyle w:val="FirstParagraph"/>
      </w:pPr>
      <w:r>
        <w:t xml:space="preserve">Q1’s underlying combined ratio was</w:t>
      </w:r>
      <w:r>
        <w:t xml:space="preserve"> </w:t>
      </w:r>
      <w:r>
        <w:rPr>
          <w:b/>
          <w:bCs/>
        </w:rPr>
        <w:t xml:space="preserve">85.3%</w:t>
      </w:r>
      <w:r>
        <w:t xml:space="preserve">, following</w:t>
      </w:r>
      <w:r>
        <w:t xml:space="preserve"> </w:t>
      </w:r>
      <w:r>
        <w:rPr>
          <w:b/>
          <w:bCs/>
        </w:rPr>
        <w:t xml:space="preserve">84.7% in Q2 2025</w:t>
      </w:r>
      <w:r>
        <w:t xml:space="preserve"> </w:t>
      </w:r>
      <w:r>
        <w:t xml:space="preserve">and</w:t>
      </w:r>
      <w:r>
        <w:t xml:space="preserve"> </w:t>
      </w:r>
      <w:r>
        <w:rPr>
          <w:b/>
          <w:bCs/>
        </w:rPr>
        <w:t xml:space="preserve">83.9% for full-year 2025</w:t>
      </w:r>
      <w:r>
        <w:t xml:space="preserve">. These are exceptional results for a diversified P&amp;C carrier. Q1 core EPS was $7.71, core ROE was 19.7%, and trailing-four-quarter core ROE reached 22.7%. (</w:t>
      </w:r>
      <w:hyperlink r:id="rId15">
        <w:r>
          <w:rPr>
            <w:rStyle w:val="Hyperlink"/>
          </w:rPr>
          <w:t xml:space="preserve">investor.travelers.com</w:t>
        </w:r>
      </w:hyperlink>
      <w:r>
        <w:t xml:space="preserve">)</w:t>
      </w:r>
    </w:p>
    <w:p>
      <w:pPr>
        <w:pStyle w:val="BodyText"/>
      </w:pPr>
      <w:r>
        <w:t xml:space="preserve">For Q2, the cleanest read on earnings quality will be the underlying combined ratio:</w:t>
      </w:r>
    </w:p>
    <w:p>
      <w:pPr>
        <w:pStyle w:val="Compact"/>
        <w:numPr>
          <w:ilvl w:val="0"/>
          <w:numId w:val="1003"/>
        </w:numPr>
      </w:pPr>
      <w:r>
        <w:rPr>
          <w:b/>
          <w:bCs/>
        </w:rPr>
        <w:t xml:space="preserve">85% or better:</w:t>
      </w:r>
      <w:r>
        <w:t xml:space="preserve"> </w:t>
      </w:r>
      <w:r>
        <w:t xml:space="preserve">Strong evidence that the underwriting earnings base remains durable.</w:t>
      </w:r>
    </w:p>
    <w:p>
      <w:pPr>
        <w:pStyle w:val="Compact"/>
        <w:numPr>
          <w:ilvl w:val="0"/>
          <w:numId w:val="1003"/>
        </w:numPr>
      </w:pPr>
      <w:r>
        <w:rPr>
          <w:b/>
          <w:bCs/>
        </w:rPr>
        <w:t xml:space="preserve">85%–86%:</w:t>
      </w:r>
      <w:r>
        <w:t xml:space="preserve"> </w:t>
      </w:r>
      <w:r>
        <w:t xml:space="preserve">Still very good, particularly given personal-lines rate moderation and expense timing.</w:t>
      </w:r>
    </w:p>
    <w:p>
      <w:pPr>
        <w:pStyle w:val="Compact"/>
        <w:numPr>
          <w:ilvl w:val="0"/>
          <w:numId w:val="1003"/>
        </w:numPr>
      </w:pPr>
      <w:r>
        <w:rPr>
          <w:b/>
          <w:bCs/>
        </w:rPr>
        <w:t xml:space="preserve">Above 86%:</w:t>
      </w:r>
      <w:r>
        <w:t xml:space="preserve"> </w:t>
      </w:r>
      <w:r>
        <w:t xml:space="preserve">Could raise questions about whether margins have peaked, depending on the cause.</w:t>
      </w:r>
    </w:p>
    <w:p>
      <w:pPr>
        <w:pStyle w:val="FirstParagraph"/>
      </w:pPr>
      <w:r>
        <w:t xml:space="preserve">Reserve development will matter to reported EPS, but investors should distinguish favorable prior-year development from current accident-year profitability. Travelers recorded</w:t>
      </w:r>
      <w:r>
        <w:t xml:space="preserve"> </w:t>
      </w:r>
      <w:r>
        <w:rPr>
          <w:b/>
          <w:bCs/>
        </w:rPr>
        <w:t xml:space="preserve">$413 million pretax of favorable development in Q1</w:t>
      </w:r>
      <w:r>
        <w:t xml:space="preserve">, including contributions from all three segments. A repeat of that magnitude would provide upside, but should not be treated as the central earnings thesis. (</w:t>
      </w:r>
      <w:hyperlink r:id="rId15">
        <w:r>
          <w:rPr>
            <w:rStyle w:val="Hyperlink"/>
          </w:rPr>
          <w:t xml:space="preserve">investor.travelers.com</w:t>
        </w:r>
      </w:hyperlink>
      <w:r>
        <w:t xml:space="preserve">)</w:t>
      </w:r>
    </w:p>
    <w:bookmarkEnd w:id="16"/>
    <w:bookmarkStart w:id="18" w:name="X1a539bd0ebcec7850c8c847b0afc0766694b9fc"/>
    <w:p>
      <w:pPr>
        <w:pStyle w:val="Heading2"/>
      </w:pPr>
      <w:r>
        <w:t xml:space="preserve">Business Insurance: watch price adequacy, not merely premium growth</w:t>
      </w:r>
    </w:p>
    <w:p>
      <w:pPr>
        <w:pStyle w:val="FirstParagraph"/>
      </w:pPr>
      <w:r>
        <w:t xml:space="preserve">Business Insurance remains the core franchise and the most important source of evidence on the commercial pricing cycle.</w:t>
      </w:r>
    </w:p>
    <w:p>
      <w:pPr>
        <w:pStyle w:val="BodyText"/>
      </w:pPr>
      <w:r>
        <w:t xml:space="preserve">In Q1:</w:t>
      </w:r>
    </w:p>
    <w:p>
      <w:pPr>
        <w:pStyle w:val="Compact"/>
        <w:numPr>
          <w:ilvl w:val="0"/>
          <w:numId w:val="1004"/>
        </w:numPr>
      </w:pPr>
      <w:r>
        <w:t xml:space="preserve">Net written premiums were</w:t>
      </w:r>
      <w:r>
        <w:t xml:space="preserve"> </w:t>
      </w:r>
      <w:r>
        <w:rPr>
          <w:b/>
          <w:bCs/>
        </w:rPr>
        <w:t xml:space="preserve">$5.8 billion</w:t>
      </w:r>
      <w:r>
        <w:t xml:space="preserve">.</w:t>
      </w:r>
    </w:p>
    <w:p>
      <w:pPr>
        <w:pStyle w:val="Compact"/>
        <w:numPr>
          <w:ilvl w:val="0"/>
          <w:numId w:val="1004"/>
        </w:numPr>
      </w:pPr>
      <w:r>
        <w:t xml:space="preserve">Renewal premium change was</w:t>
      </w:r>
      <w:r>
        <w:t xml:space="preserve"> </w:t>
      </w:r>
      <w:r>
        <w:rPr>
          <w:b/>
          <w:bCs/>
        </w:rPr>
        <w:t xml:space="preserve">5.8%</w:t>
      </w:r>
      <w:r>
        <w:t xml:space="preserve">.</w:t>
      </w:r>
    </w:p>
    <w:p>
      <w:pPr>
        <w:pStyle w:val="Compact"/>
        <w:numPr>
          <w:ilvl w:val="0"/>
          <w:numId w:val="1004"/>
        </w:numPr>
      </w:pPr>
      <w:r>
        <w:t xml:space="preserve">Retention increased to</w:t>
      </w:r>
      <w:r>
        <w:t xml:space="preserve"> </w:t>
      </w:r>
      <w:r>
        <w:rPr>
          <w:b/>
          <w:bCs/>
        </w:rPr>
        <w:t xml:space="preserve">86%</w:t>
      </w:r>
      <w:r>
        <w:t xml:space="preserve">.</w:t>
      </w:r>
    </w:p>
    <w:p>
      <w:pPr>
        <w:pStyle w:val="Compact"/>
        <w:numPr>
          <w:ilvl w:val="0"/>
          <w:numId w:val="1004"/>
        </w:numPr>
      </w:pPr>
      <w:r>
        <w:t xml:space="preserve">New business reached a quarterly record</w:t>
      </w:r>
      <w:r>
        <w:t xml:space="preserve"> </w:t>
      </w:r>
      <w:r>
        <w:rPr>
          <w:b/>
          <w:bCs/>
        </w:rPr>
        <w:t xml:space="preserve">$775 million</w:t>
      </w:r>
      <w:r>
        <w:t xml:space="preserve">.</w:t>
      </w:r>
    </w:p>
    <w:p>
      <w:pPr>
        <w:pStyle w:val="Compact"/>
        <w:numPr>
          <w:ilvl w:val="0"/>
          <w:numId w:val="1004"/>
        </w:numPr>
      </w:pPr>
      <w:r>
        <w:t xml:space="preserve">The underlying combined ratio was</w:t>
      </w:r>
      <w:r>
        <w:t xml:space="preserve"> </w:t>
      </w:r>
      <w:r>
        <w:rPr>
          <w:b/>
          <w:bCs/>
        </w:rPr>
        <w:t xml:space="preserve">89.8%</w:t>
      </w:r>
      <w:r>
        <w:t xml:space="preserve">.</w:t>
      </w:r>
    </w:p>
    <w:p>
      <w:pPr>
        <w:pStyle w:val="Compact"/>
        <w:numPr>
          <w:ilvl w:val="0"/>
          <w:numId w:val="1004"/>
        </w:numPr>
      </w:pPr>
      <w:r>
        <w:t xml:space="preserve">Excluding property, renewal premium change was nearly 8%, with double-digit increases in commercial auto, CMP and umbrella. (</w:t>
      </w:r>
      <w:hyperlink r:id="rId15">
        <w:r>
          <w:rPr>
            <w:rStyle w:val="Hyperlink"/>
          </w:rPr>
          <w:t xml:space="preserve">investor.travelers.com</w:t>
        </w:r>
      </w:hyperlink>
      <w:r>
        <w:t xml:space="preserve">)</w:t>
      </w:r>
    </w:p>
    <w:p>
      <w:pPr>
        <w:pStyle w:val="FirstParagraph"/>
      </w:pPr>
      <w:r>
        <w:t xml:space="preserve">The trade-off is clear: headline renewal premium change has declined from 7.7% in Q2 2025 and 6.1% in Q4 2025, but retention and new business have remained strong. That can be an attractive outcome if pricing continues to cover loss-cost trends.</w:t>
      </w:r>
    </w:p>
    <w:bookmarkStart w:id="17" w:name="what-investors-should-examine"/>
    <w:p>
      <w:pPr>
        <w:pStyle w:val="Heading3"/>
      </w:pPr>
      <w:r>
        <w:t xml:space="preserve">What investors should examine</w:t>
      </w:r>
    </w:p>
    <w:p>
      <w:pPr>
        <w:pStyle w:val="Compact"/>
        <w:numPr>
          <w:ilvl w:val="0"/>
          <w:numId w:val="1005"/>
        </w:numPr>
      </w:pPr>
      <w:r>
        <w:rPr>
          <w:b/>
          <w:bCs/>
        </w:rPr>
        <w:t xml:space="preserve">Casualty pricing:</w:t>
      </w:r>
      <w:r>
        <w:t xml:space="preserve"> </w:t>
      </w:r>
      <w:r>
        <w:t xml:space="preserve">Commercial auto and umbrella should remain firmly positive given social-inflation pressure.</w:t>
      </w:r>
    </w:p>
    <w:p>
      <w:pPr>
        <w:pStyle w:val="Compact"/>
        <w:numPr>
          <w:ilvl w:val="0"/>
          <w:numId w:val="1005"/>
        </w:numPr>
      </w:pPr>
      <w:r>
        <w:rPr>
          <w:b/>
          <w:bCs/>
        </w:rPr>
        <w:t xml:space="preserve">General liability loss picks:</w:t>
      </w:r>
      <w:r>
        <w:t xml:space="preserve"> </w:t>
      </w:r>
      <w:r>
        <w:t xml:space="preserve">Travelers continues to carry an uncertainty provision for casualty lines because attorney representation, severity and payout periods remain elevated.</w:t>
      </w:r>
    </w:p>
    <w:p>
      <w:pPr>
        <w:pStyle w:val="Compact"/>
        <w:numPr>
          <w:ilvl w:val="0"/>
          <w:numId w:val="1005"/>
        </w:numPr>
      </w:pPr>
      <w:r>
        <w:rPr>
          <w:b/>
          <w:bCs/>
        </w:rPr>
        <w:t xml:space="preserve">National Property:</w:t>
      </w:r>
      <w:r>
        <w:t xml:space="preserve"> </w:t>
      </w:r>
      <w:r>
        <w:t xml:space="preserve">Premium has been declining as Travelers refuses unattractive large-account pricing or terms. Discipline is more important than preserving volume.</w:t>
      </w:r>
    </w:p>
    <w:p>
      <w:pPr>
        <w:pStyle w:val="Compact"/>
        <w:numPr>
          <w:ilvl w:val="0"/>
          <w:numId w:val="1005"/>
        </w:numPr>
      </w:pPr>
      <w:r>
        <w:rPr>
          <w:b/>
          <w:bCs/>
        </w:rPr>
        <w:t xml:space="preserve">Middle Market retention:</w:t>
      </w:r>
      <w:r>
        <w:t xml:space="preserve"> </w:t>
      </w:r>
      <w:r>
        <w:t xml:space="preserve">Q1 retention was 89%. Maintaining high retention while securing adequate rate would support the view that Travelers is gaining profitable share.</w:t>
      </w:r>
    </w:p>
    <w:p>
      <w:pPr>
        <w:pStyle w:val="Compact"/>
        <w:numPr>
          <w:ilvl w:val="0"/>
          <w:numId w:val="1005"/>
        </w:numPr>
      </w:pPr>
      <w:r>
        <w:rPr>
          <w:b/>
          <w:bCs/>
        </w:rPr>
        <w:t xml:space="preserve">Workers’ compensation:</w:t>
      </w:r>
      <w:r>
        <w:t xml:space="preserve"> </w:t>
      </w:r>
      <w:r>
        <w:t xml:space="preserve">Reserve development has been favorable, but investors should watch for any deterioration in medical inflation or California cumulative-trauma claims.</w:t>
      </w:r>
    </w:p>
    <w:p>
      <w:pPr>
        <w:pStyle w:val="FirstParagraph"/>
      </w:pPr>
      <w:r>
        <w:t xml:space="preserve">A Business Insurance underlying combined ratio below 90%, accompanied by stable casualty pricing and strong retention, would be a high-quality result even if reported premium growth is modest.</w:t>
      </w:r>
    </w:p>
    <w:bookmarkEnd w:id="17"/>
    <w:bookmarkEnd w:id="18"/>
    <w:bookmarkStart w:id="21" w:name="Xaa241fb99f734138fade0301e9f29544662e155"/>
    <w:p>
      <w:pPr>
        <w:pStyle w:val="Heading2"/>
      </w:pPr>
      <w:r>
        <w:t xml:space="preserve">Personal Insurance: transition from remediation to profitable growth</w:t>
      </w:r>
    </w:p>
    <w:p>
      <w:pPr>
        <w:pStyle w:val="FirstParagraph"/>
      </w:pPr>
      <w:r>
        <w:t xml:space="preserve">Personal Insurance has moved from being a repair story to a growth-execution story. Q1’s underlying combined ratio was</w:t>
      </w:r>
      <w:r>
        <w:t xml:space="preserve"> </w:t>
      </w:r>
      <w:r>
        <w:rPr>
          <w:b/>
          <w:bCs/>
        </w:rPr>
        <w:t xml:space="preserve">78.3%</w:t>
      </w:r>
      <w:r>
        <w:t xml:space="preserve">, including strong results in both auto and homeowners. Management said most of the multiyear actions to improve property pricing, terms and geographic exposure were behind it. (</w:t>
      </w:r>
      <w:hyperlink r:id="rId15">
        <w:r>
          <w:rPr>
            <w:rStyle w:val="Hyperlink"/>
          </w:rPr>
          <w:t xml:space="preserve">investor.travelers.com</w:t>
        </w:r>
      </w:hyperlink>
      <w:r>
        <w:t xml:space="preserve">)</w:t>
      </w:r>
    </w:p>
    <w:p>
      <w:pPr>
        <w:pStyle w:val="BodyText"/>
      </w:pPr>
      <w:r>
        <w:t xml:space="preserve">The central issue is whether Travelers can increase new business without giving back too much of its margin improvement.</w:t>
      </w:r>
    </w:p>
    <w:bookmarkStart w:id="19" w:name="automobile"/>
    <w:p>
      <w:pPr>
        <w:pStyle w:val="Heading3"/>
      </w:pPr>
      <w:r>
        <w:t xml:space="preserve">Automobile</w:t>
      </w:r>
    </w:p>
    <w:p>
      <w:pPr>
        <w:pStyle w:val="FirstParagraph"/>
      </w:pPr>
      <w:r>
        <w:t xml:space="preserve">Q1 auto’s underlying combined ratio was 88.3%, while retention remained about 82%. Management has been moderating pricing and expanding eligibility to restore growth.</w:t>
      </w:r>
    </w:p>
    <w:p>
      <w:pPr>
        <w:pStyle w:val="BodyText"/>
      </w:pPr>
      <w:r>
        <w:t xml:space="preserve">Watch for:</w:t>
      </w:r>
    </w:p>
    <w:p>
      <w:pPr>
        <w:pStyle w:val="Compact"/>
        <w:numPr>
          <w:ilvl w:val="0"/>
          <w:numId w:val="1006"/>
        </w:numPr>
      </w:pPr>
      <w:r>
        <w:t xml:space="preserve">Higher new-business policies and premium.</w:t>
      </w:r>
    </w:p>
    <w:p>
      <w:pPr>
        <w:pStyle w:val="Compact"/>
        <w:numPr>
          <w:ilvl w:val="0"/>
          <w:numId w:val="1006"/>
        </w:numPr>
      </w:pPr>
      <w:r>
        <w:t xml:space="preserve">Auto retention moving toward historical levels.</w:t>
      </w:r>
    </w:p>
    <w:p>
      <w:pPr>
        <w:pStyle w:val="Compact"/>
        <w:numPr>
          <w:ilvl w:val="0"/>
          <w:numId w:val="1006"/>
        </w:numPr>
      </w:pPr>
      <w:r>
        <w:t xml:space="preserve">Frequency remaining favorable.</w:t>
      </w:r>
    </w:p>
    <w:p>
      <w:pPr>
        <w:pStyle w:val="Compact"/>
        <w:numPr>
          <w:ilvl w:val="0"/>
          <w:numId w:val="1006"/>
        </w:numPr>
      </w:pPr>
      <w:r>
        <w:t xml:space="preserve">Continued moderation in severity.</w:t>
      </w:r>
    </w:p>
    <w:p>
      <w:pPr>
        <w:pStyle w:val="Compact"/>
        <w:numPr>
          <w:ilvl w:val="0"/>
          <w:numId w:val="1006"/>
        </w:numPr>
      </w:pPr>
      <w:r>
        <w:t xml:space="preserve">No evidence that more competitive pricing is producing adverse selection.</w:t>
      </w:r>
    </w:p>
    <w:p>
      <w:pPr>
        <w:pStyle w:val="FirstParagraph"/>
      </w:pPr>
      <w:r>
        <w:t xml:space="preserve">An auto underlying combined ratio around 89%–92% would remain healthy. Material deterioration accompanied by faster new-business growth would warrant scrutiny.</w:t>
      </w:r>
    </w:p>
    <w:bookmarkEnd w:id="19"/>
    <w:bookmarkStart w:id="20" w:name="homeowners"/>
    <w:p>
      <w:pPr>
        <w:pStyle w:val="Heading3"/>
      </w:pPr>
      <w:r>
        <w:t xml:space="preserve">Homeowners</w:t>
      </w:r>
    </w:p>
    <w:p>
      <w:pPr>
        <w:pStyle w:val="FirstParagraph"/>
      </w:pPr>
      <w:r>
        <w:t xml:space="preserve">Q1 homeowners’ underlying combined ratio was 69.7%, but Q2 is historically the highest quarter for homeowners weather losses. Management expects homeowners renewal premium change to move toward the mid-single digits as insured values have caught up with replacement costs.</w:t>
      </w:r>
    </w:p>
    <w:p>
      <w:pPr>
        <w:pStyle w:val="BodyText"/>
      </w:pPr>
      <w:r>
        <w:t xml:space="preserve">Investors should focus on:</w:t>
      </w:r>
    </w:p>
    <w:p>
      <w:pPr>
        <w:pStyle w:val="Compact"/>
        <w:numPr>
          <w:ilvl w:val="0"/>
          <w:numId w:val="1007"/>
        </w:numPr>
      </w:pPr>
      <w:r>
        <w:t xml:space="preserve">Non-catastrophe weather losses.</w:t>
      </w:r>
    </w:p>
    <w:p>
      <w:pPr>
        <w:pStyle w:val="Compact"/>
        <w:numPr>
          <w:ilvl w:val="0"/>
          <w:numId w:val="1007"/>
        </w:numPr>
      </w:pPr>
      <w:r>
        <w:t xml:space="preserve">New-business growth as binding and eligibility restrictions are relaxed.</w:t>
      </w:r>
    </w:p>
    <w:p>
      <w:pPr>
        <w:pStyle w:val="Compact"/>
        <w:numPr>
          <w:ilvl w:val="0"/>
          <w:numId w:val="1007"/>
        </w:numPr>
      </w:pPr>
      <w:r>
        <w:t xml:space="preserve">Geographic mix and aggregate exposure.</w:t>
      </w:r>
    </w:p>
    <w:p>
      <w:pPr>
        <w:pStyle w:val="Compact"/>
        <w:numPr>
          <w:ilvl w:val="0"/>
          <w:numId w:val="1007"/>
        </w:numPr>
      </w:pPr>
      <w:r>
        <w:t xml:space="preserve">Whether lower rate increases remain comfortably above expected loss-cost inflation.</w:t>
      </w:r>
    </w:p>
    <w:p>
      <w:pPr>
        <w:pStyle w:val="FirstParagraph"/>
      </w:pPr>
      <w:r>
        <w:t xml:space="preserve">A modest deterioration from Q1 is normal seasonally. The more important question is whether the homeowners book remains strongly profitable after adjusting for catastrophes.</w:t>
      </w:r>
    </w:p>
    <w:bookmarkEnd w:id="20"/>
    <w:bookmarkEnd w:id="21"/>
    <w:bookmarkStart w:id="23" w:name="Xcf895eb966de070bfff96c2eb34ec18f18f1e01"/>
    <w:p>
      <w:pPr>
        <w:pStyle w:val="Heading2"/>
      </w:pPr>
      <w:r>
        <w:t xml:space="preserve">Investment income: fixed-income strength, alternative-investment headwind</w:t>
      </w:r>
    </w:p>
    <w:p>
      <w:pPr>
        <w:pStyle w:val="FirstParagraph"/>
      </w:pPr>
      <w:r>
        <w:t xml:space="preserve">Travelers generated</w:t>
      </w:r>
      <w:r>
        <w:t xml:space="preserve"> </w:t>
      </w:r>
      <m:oMath>
        <m:r>
          <m:t>833</m:t>
        </m:r>
        <m:r>
          <m:t>m</m:t>
        </m:r>
        <m:r>
          <m:t>i</m:t>
        </m:r>
        <m:r>
          <m:t>l</m:t>
        </m:r>
        <m:r>
          <m:t>l</m:t>
        </m:r>
        <m:r>
          <m:t>i</m:t>
        </m:r>
        <m:r>
          <m:t>o</m:t>
        </m:r>
        <m:r>
          <m:t>n</m:t>
        </m:r>
        <m:r>
          <m:t>o</m:t>
        </m:r>
        <m:r>
          <m:t>f</m:t>
        </m:r>
        <m:r>
          <m:t>a</m:t>
        </m:r>
        <m:r>
          <m:t>f</m:t>
        </m:r>
        <m:r>
          <m:t>t</m:t>
        </m:r>
        <m:r>
          <m:t>e</m:t>
        </m:r>
        <m:r>
          <m:t>r</m:t>
        </m:r>
        <m:r>
          <m:rPr>
            <m:sty m:val="p"/>
          </m:rPr>
          <m:t>−</m:t>
        </m:r>
        <m:r>
          <m:t>t</m:t>
        </m:r>
        <m:r>
          <m:t>a</m:t>
        </m:r>
        <m:r>
          <m:t>x</m:t>
        </m:r>
        <m:r>
          <m:t>i</m:t>
        </m:r>
        <m:r>
          <m:t>n</m:t>
        </m:r>
        <m:r>
          <m:t>v</m:t>
        </m:r>
        <m:r>
          <m:t>e</m:t>
        </m:r>
        <m:r>
          <m:t>s</m:t>
        </m:r>
        <m:r>
          <m:t>t</m:t>
        </m:r>
        <m:r>
          <m:t>m</m:t>
        </m:r>
        <m:r>
          <m:t>e</m:t>
        </m:r>
        <m:r>
          <m:t>n</m:t>
        </m:r>
        <m:r>
          <m:t>t</m:t>
        </m:r>
        <m:r>
          <m:t>i</m:t>
        </m:r>
        <m:r>
          <m:t>n</m:t>
        </m:r>
        <m:r>
          <m:t>c</m:t>
        </m:r>
        <m:r>
          <m:t>o</m:t>
        </m:r>
        <m:r>
          <m:t>m</m:t>
        </m:r>
        <m:r>
          <m:t>e</m:t>
        </m:r>
        <m:r>
          <m:t>i</m:t>
        </m:r>
        <m:r>
          <m:t>n</m:t>
        </m:r>
        <m:r>
          <m:t>Q</m:t>
        </m:r>
        <m:r>
          <m:t>1</m:t>
        </m:r>
        <m:r>
          <m:rPr>
            <m:sty m:val="p"/>
          </m:rPr>
          <m:t>*</m:t>
        </m:r>
        <m:r>
          <m:rPr>
            <m:sty m:val="p"/>
          </m:rPr>
          <m:t>*</m:t>
        </m:r>
        <m:r>
          <m:rPr>
            <m:sty m:val="p"/>
          </m:rPr>
          <m:t>,</m:t>
        </m:r>
        <m:r>
          <m:t>u</m:t>
        </m:r>
        <m:r>
          <m:t>p</m:t>
        </m:r>
        <m:r>
          <m:t>9</m:t>
        </m:r>
      </m:oMath>
      <w:r>
        <w:rPr>
          <w:b/>
          <w:bCs/>
        </w:rPr>
        <w:t xml:space="preserve">810 million of after-tax fixed-income investment income in Q2</w:t>
      </w:r>
      <w:r>
        <w:t xml:space="preserve">, followed by $840 million in Q3 and $870 million in Q4. (</w:t>
      </w:r>
      <w:hyperlink r:id="rId15">
        <w:r>
          <w:rPr>
            <w:rStyle w:val="Hyperlink"/>
          </w:rPr>
          <w:t xml:space="preserve">investor.travelers.com</w:t>
        </w:r>
      </w:hyperlink>
      <w:r>
        <w:t xml:space="preserve">)</w:t>
      </w:r>
    </w:p>
    <w:p>
      <w:pPr>
        <w:pStyle w:val="BodyText"/>
      </w:pPr>
      <w:r>
        <w:t xml:space="preserve">That fixed-income growth is a reliable positive. However, management explicitly warned that private-equity, hedge-fund and real-estate partnership results are generally reported on a one-quarter lag. Consequently, the financial-market decline during Q1 should affect Q2’s non-fixed-income results. (</w:t>
      </w:r>
      <w:hyperlink r:id="rId22">
        <w:r>
          <w:rPr>
            <w:rStyle w:val="Hyperlink"/>
          </w:rPr>
          <w:t xml:space="preserve">s26.q4cdn.com</w:t>
        </w:r>
      </w:hyperlink>
      <w:r>
        <w:t xml:space="preserve">)</w:t>
      </w:r>
    </w:p>
    <w:p>
      <w:pPr>
        <w:pStyle w:val="BodyText"/>
      </w:pPr>
      <w:r>
        <w:t xml:space="preserve">The market should therefore separate:</w:t>
      </w:r>
    </w:p>
    <w:p>
      <w:pPr>
        <w:pStyle w:val="Compact"/>
        <w:numPr>
          <w:ilvl w:val="0"/>
          <w:numId w:val="1008"/>
        </w:numPr>
      </w:pPr>
      <w:r>
        <w:rPr>
          <w:b/>
          <w:bCs/>
        </w:rPr>
        <w:t xml:space="preserve">Recurring positive:</w:t>
      </w:r>
      <w:r>
        <w:t xml:space="preserve"> </w:t>
      </w:r>
      <w:r>
        <w:t xml:space="preserve">Growth in fixed-income NII from higher yields and invested assets.</w:t>
      </w:r>
    </w:p>
    <w:p>
      <w:pPr>
        <w:pStyle w:val="Compact"/>
        <w:numPr>
          <w:ilvl w:val="0"/>
          <w:numId w:val="1008"/>
        </w:numPr>
      </w:pPr>
      <w:r>
        <w:rPr>
          <w:b/>
          <w:bCs/>
        </w:rPr>
        <w:t xml:space="preserve">Quarterly volatility:</w:t>
      </w:r>
      <w:r>
        <w:t xml:space="preserve"> </w:t>
      </w:r>
      <w:r>
        <w:t xml:space="preserve">Alternative-investment returns.</w:t>
      </w:r>
    </w:p>
    <w:p>
      <w:pPr>
        <w:pStyle w:val="Compact"/>
        <w:numPr>
          <w:ilvl w:val="0"/>
          <w:numId w:val="1008"/>
        </w:numPr>
      </w:pPr>
      <w:r>
        <w:rPr>
          <w:b/>
          <w:bCs/>
        </w:rPr>
        <w:t xml:space="preserve">Book-value noise:</w:t>
      </w:r>
      <w:r>
        <w:t xml:space="preserve"> </w:t>
      </w:r>
      <w:r>
        <w:t xml:space="preserve">Changes in unrealized bond losses as interest rates move.</w:t>
      </w:r>
    </w:p>
    <w:p>
      <w:pPr>
        <w:pStyle w:val="FirstParagraph"/>
      </w:pPr>
      <w:r>
        <w:t xml:space="preserve">Weak alternatives should not be interpreted as deterioration in underwriting or the recurring investment-income trajectory.</w:t>
      </w:r>
    </w:p>
    <w:bookmarkEnd w:id="23"/>
    <w:bookmarkStart w:id="24" w:name="capital-return-and-valuation"/>
    <w:p>
      <w:pPr>
        <w:pStyle w:val="Heading2"/>
      </w:pPr>
      <w:r>
        <w:t xml:space="preserve">Capital return and valuation</w:t>
      </w:r>
    </w:p>
    <w:p>
      <w:pPr>
        <w:pStyle w:val="FirstParagraph"/>
      </w:pPr>
      <w:r>
        <w:t xml:space="preserve">Travelers repurchased</w:t>
      </w:r>
      <w:r>
        <w:t xml:space="preserve"> </w:t>
      </w:r>
      <w:r>
        <w:rPr>
          <w:b/>
          <w:bCs/>
        </w:rPr>
        <w:t xml:space="preserve">$1.8 billion of stock in the open market during Q1 at an average price of $300.30</w:t>
      </w:r>
      <w:r>
        <w:t xml:space="preserve">, plus</w:t>
      </w:r>
      <w:r>
        <w:t xml:space="preserve"> </w:t>
      </w:r>
      <m:oMath>
        <m:r>
          <m:t>185</m:t>
        </m:r>
        <m:r>
          <m:t>m</m:t>
        </m:r>
        <m:r>
          <m:t>i</m:t>
        </m:r>
        <m:r>
          <m:t>l</m:t>
        </m:r>
        <m:r>
          <m:t>l</m:t>
        </m:r>
        <m:r>
          <m:t>i</m:t>
        </m:r>
        <m:r>
          <m:t>o</m:t>
        </m:r>
        <m:r>
          <m:t>n</m:t>
        </m:r>
        <m:r>
          <m:t>a</m:t>
        </m:r>
        <m:r>
          <m:t>s</m:t>
        </m:r>
        <m:r>
          <m:t>s</m:t>
        </m:r>
        <m:r>
          <m:t>o</m:t>
        </m:r>
        <m:r>
          <m:t>c</m:t>
        </m:r>
        <m:r>
          <m:t>i</m:t>
        </m:r>
        <m:r>
          <m:t>a</m:t>
        </m:r>
        <m:r>
          <m:t>t</m:t>
        </m:r>
        <m:r>
          <m:t>e</m:t>
        </m:r>
        <m:r>
          <m:t>d</m:t>
        </m:r>
        <m:r>
          <m:t>w</m:t>
        </m:r>
        <m:r>
          <m:t>i</m:t>
        </m:r>
        <m:r>
          <m:t>t</m:t>
        </m:r>
        <m:r>
          <m:t>h</m:t>
        </m:r>
        <m:r>
          <m:t>e</m:t>
        </m:r>
        <m:r>
          <m:t>m</m:t>
        </m:r>
        <m:r>
          <m:t>p</m:t>
        </m:r>
        <m:r>
          <m:t>l</m:t>
        </m:r>
        <m:r>
          <m:t>o</m:t>
        </m:r>
        <m:r>
          <m:t>y</m:t>
        </m:r>
        <m:r>
          <m:t>e</m:t>
        </m:r>
        <m:r>
          <m:t>e</m:t>
        </m:r>
        <m:r>
          <m:t>c</m:t>
        </m:r>
        <m:r>
          <m:t>o</m:t>
        </m:r>
        <m:r>
          <m:t>m</m:t>
        </m:r>
        <m:r>
          <m:t>p</m:t>
        </m:r>
        <m:r>
          <m:t>e</m:t>
        </m:r>
        <m:r>
          <m:t>n</m:t>
        </m:r>
        <m:r>
          <m:t>s</m:t>
        </m:r>
        <m:r>
          <m:t>a</m:t>
        </m:r>
        <m:r>
          <m:t>t</m:t>
        </m:r>
        <m:r>
          <m:t>i</m:t>
        </m:r>
        <m:r>
          <m:t>o</m:t>
        </m:r>
        <m:r>
          <m:t>n</m:t>
        </m:r>
        <m:r>
          <m:t>p</m:t>
        </m:r>
        <m:r>
          <m:t>l</m:t>
        </m:r>
        <m:r>
          <m:t>a</m:t>
        </m:r>
        <m:r>
          <m:t>n</m:t>
        </m:r>
        <m:r>
          <m:t>s</m:t>
        </m:r>
        <m:r>
          <m:rPr>
            <m:sty m:val="p"/>
          </m:rPr>
          <m:t>.</m:t>
        </m:r>
        <m:r>
          <m:t>I</m:t>
        </m:r>
        <m:r>
          <m:t>t</m:t>
        </m:r>
        <m:r>
          <m:t>h</m:t>
        </m:r>
        <m:r>
          <m:t>a</m:t>
        </m:r>
        <m:r>
          <m:t>d</m:t>
        </m:r>
        <m:r>
          <m:rPr>
            <m:sty m:val="p"/>
          </m:rPr>
          <m:t>*</m:t>
        </m:r>
        <m:r>
          <m:rPr>
            <m:sty m:val="p"/>
          </m:rPr>
          <m:t>*</m:t>
        </m:r>
      </m:oMath>
      <w:r>
        <w:t xml:space="preserve">5.2 billion of remaining authorization** at March 31. Adjusted book value was $161.60 per share. (</w:t>
      </w:r>
      <w:hyperlink r:id="rId15">
        <w:r>
          <w:rPr>
            <w:rStyle w:val="Hyperlink"/>
          </w:rPr>
          <w:t xml:space="preserve">investor.travelers.com</w:t>
        </w:r>
      </w:hyperlink>
      <w:r>
        <w:t xml:space="preserve">)</w:t>
      </w:r>
    </w:p>
    <w:p>
      <w:pPr>
        <w:pStyle w:val="BodyText"/>
      </w:pPr>
      <w:r>
        <w:t xml:space="preserve">At approximately $338, the stock trades near:</w:t>
      </w:r>
    </w:p>
    <w:p>
      <w:pPr>
        <w:pStyle w:val="Compact"/>
        <w:numPr>
          <w:ilvl w:val="0"/>
          <w:numId w:val="1009"/>
        </w:numPr>
      </w:pPr>
      <w:r>
        <w:rPr>
          <w:b/>
          <w:bCs/>
        </w:rPr>
        <w:t xml:space="preserve">10.1 times trailing core EPS</w:t>
      </w:r>
      <w:r>
        <w:t xml:space="preserve"> </w:t>
      </w:r>
      <w:r>
        <w:t xml:space="preserve">of approximately $33.49.</w:t>
      </w:r>
    </w:p>
    <w:p>
      <w:pPr>
        <w:pStyle w:val="Compact"/>
        <w:numPr>
          <w:ilvl w:val="0"/>
          <w:numId w:val="1009"/>
        </w:numPr>
      </w:pPr>
      <w:r>
        <w:rPr>
          <w:b/>
          <w:bCs/>
        </w:rPr>
        <w:t xml:space="preserve">2.1 times Q1 adjusted book value</w:t>
      </w:r>
      <w:r>
        <w:t xml:space="preserve">.</w:t>
      </w:r>
    </w:p>
    <w:p>
      <w:pPr>
        <w:pStyle w:val="Compact"/>
        <w:numPr>
          <w:ilvl w:val="0"/>
          <w:numId w:val="1009"/>
        </w:numPr>
      </w:pPr>
      <w:r>
        <w:t xml:space="preserve">A premium to its repurchase price earlier this year.</w:t>
      </w:r>
    </w:p>
    <w:p>
      <w:pPr>
        <w:pStyle w:val="FirstParagraph"/>
      </w:pPr>
      <w:r>
        <w:t xml:space="preserve">The earnings multiple is not demanding given recent returns, but the book-value multiple embeds confidence that Travelers can sustain high-teens or better core ROE. The stock’s strong recent performance means the near-term reaction may be driven more by the outlook for normalized margins than by a small beat or miss.</w:t>
      </w:r>
    </w:p>
    <w:p>
      <w:pPr>
        <w:pStyle w:val="BodyText"/>
      </w:pPr>
      <w:r>
        <w:t xml:space="preserve">Q1 buybacks were unusually large because they included excess capital and proceeds associated with the Canadian-business sale. Investors should not assume that pace continues. A healthy Q2 would nevertheless support ongoing repurchases, particularly given strong operating cash flow and the remaining authorization.</w:t>
      </w:r>
    </w:p>
    <w:bookmarkEnd w:id="24"/>
    <w:bookmarkStart w:id="25" w:name="what-would-constitute-a-strong-report"/>
    <w:p>
      <w:pPr>
        <w:pStyle w:val="Heading2"/>
      </w:pPr>
      <w:r>
        <w:t xml:space="preserve">What would constitute a strong report?</w:t>
      </w:r>
    </w:p>
    <w:p>
      <w:pPr>
        <w:pStyle w:val="FirstParagraph"/>
      </w:pPr>
      <w:r>
        <w:t xml:space="preserve">A clearly positive report would likely include most of the following:</w:t>
      </w:r>
    </w:p>
    <w:p>
      <w:pPr>
        <w:pStyle w:val="Compact"/>
        <w:numPr>
          <w:ilvl w:val="0"/>
          <w:numId w:val="1010"/>
        </w:numPr>
      </w:pPr>
      <w:r>
        <w:t xml:space="preserve">Core EPS above roughly</w:t>
      </w:r>
      <w:r>
        <w:t xml:space="preserve"> </w:t>
      </w:r>
      <w:r>
        <w:rPr>
          <w:b/>
          <w:bCs/>
        </w:rPr>
        <w:t xml:space="preserve">$5.4</w:t>
      </w:r>
      <w:r>
        <w:t xml:space="preserve">.</w:t>
      </w:r>
    </w:p>
    <w:p>
      <w:pPr>
        <w:pStyle w:val="Compact"/>
        <w:numPr>
          <w:ilvl w:val="0"/>
          <w:numId w:val="1010"/>
        </w:numPr>
      </w:pPr>
      <w:r>
        <w:t xml:space="preserve">Catastrophe losses below the 12.6-point plan.</w:t>
      </w:r>
    </w:p>
    <w:p>
      <w:pPr>
        <w:pStyle w:val="Compact"/>
        <w:numPr>
          <w:ilvl w:val="0"/>
          <w:numId w:val="1010"/>
        </w:numPr>
      </w:pPr>
      <w:r>
        <w:t xml:space="preserve">Consolidated underlying combined ratio at or below 85%.</w:t>
      </w:r>
    </w:p>
    <w:p>
      <w:pPr>
        <w:pStyle w:val="Compact"/>
        <w:numPr>
          <w:ilvl w:val="0"/>
          <w:numId w:val="1010"/>
        </w:numPr>
      </w:pPr>
      <w:r>
        <w:t xml:space="preserve">Business Insurance underlying combined ratio below 90%.</w:t>
      </w:r>
    </w:p>
    <w:p>
      <w:pPr>
        <w:pStyle w:val="Compact"/>
        <w:numPr>
          <w:ilvl w:val="0"/>
          <w:numId w:val="1010"/>
        </w:numPr>
      </w:pPr>
      <w:r>
        <w:t xml:space="preserve">Stable casualty pricing with retention remaining in the mid-to-high 80s.</w:t>
      </w:r>
    </w:p>
    <w:p>
      <w:pPr>
        <w:pStyle w:val="Compact"/>
        <w:numPr>
          <w:ilvl w:val="0"/>
          <w:numId w:val="1010"/>
        </w:numPr>
      </w:pPr>
      <w:r>
        <w:t xml:space="preserve">Continued Personal Insurance new-business momentum without meaningful margin deterioration.</w:t>
      </w:r>
    </w:p>
    <w:p>
      <w:pPr>
        <w:pStyle w:val="Compact"/>
        <w:numPr>
          <w:ilvl w:val="0"/>
          <w:numId w:val="1010"/>
        </w:numPr>
      </w:pPr>
      <w:r>
        <w:t xml:space="preserve">Fixed-income NII near or above the $810 million outlook.</w:t>
      </w:r>
    </w:p>
    <w:p>
      <w:pPr>
        <w:pStyle w:val="Compact"/>
        <w:numPr>
          <w:ilvl w:val="0"/>
          <w:numId w:val="1010"/>
        </w:numPr>
      </w:pPr>
      <w:r>
        <w:t xml:space="preserve">Adjusted book-value growth despite capital returns and interest-rate movements.</w:t>
      </w:r>
    </w:p>
    <w:p>
      <w:pPr>
        <w:pStyle w:val="Compact"/>
        <w:numPr>
          <w:ilvl w:val="0"/>
          <w:numId w:val="1010"/>
        </w:numPr>
      </w:pPr>
      <w:r>
        <w:t xml:space="preserve">Constructive July 1 reinsurance-renewal commentary.</w:t>
      </w:r>
    </w:p>
    <w:bookmarkEnd w:id="25"/>
    <w:bookmarkStart w:id="26" w:name="what-could-disappoint"/>
    <w:p>
      <w:pPr>
        <w:pStyle w:val="Heading2"/>
      </w:pPr>
      <w:r>
        <w:t xml:space="preserve">What could disappoint?</w:t>
      </w:r>
    </w:p>
    <w:p>
      <w:pPr>
        <w:pStyle w:val="FirstParagraph"/>
      </w:pPr>
      <w:r>
        <w:t xml:space="preserve">The main downside risks are:</w:t>
      </w:r>
    </w:p>
    <w:p>
      <w:pPr>
        <w:pStyle w:val="Compact"/>
        <w:numPr>
          <w:ilvl w:val="0"/>
          <w:numId w:val="1011"/>
        </w:numPr>
      </w:pPr>
      <w:r>
        <w:rPr>
          <w:b/>
          <w:bCs/>
        </w:rPr>
        <w:t xml:space="preserve">Catastrophe losses above plan</w:t>
      </w:r>
      <w:r>
        <w:t xml:space="preserve">, particularly if caused by multiple midsized convective-storm events.</w:t>
      </w:r>
    </w:p>
    <w:p>
      <w:pPr>
        <w:pStyle w:val="Compact"/>
        <w:numPr>
          <w:ilvl w:val="0"/>
          <w:numId w:val="1011"/>
        </w:numPr>
      </w:pPr>
      <w:r>
        <w:rPr>
          <w:b/>
          <w:bCs/>
        </w:rPr>
        <w:t xml:space="preserve">Underlying margin slippage</w:t>
      </w:r>
      <w:r>
        <w:t xml:space="preserve">, suggesting earned pricing is no longer keeping pace with loss costs.</w:t>
      </w:r>
    </w:p>
    <w:p>
      <w:pPr>
        <w:pStyle w:val="Compact"/>
        <w:numPr>
          <w:ilvl w:val="0"/>
          <w:numId w:val="1011"/>
        </w:numPr>
      </w:pPr>
      <w:r>
        <w:rPr>
          <w:b/>
          <w:bCs/>
        </w:rPr>
        <w:t xml:space="preserve">Faster commercial pricing deceleration</w:t>
      </w:r>
      <w:r>
        <w:t xml:space="preserve">, especially in liability-sensitive lines.</w:t>
      </w:r>
    </w:p>
    <w:p>
      <w:pPr>
        <w:pStyle w:val="Compact"/>
        <w:numPr>
          <w:ilvl w:val="0"/>
          <w:numId w:val="1011"/>
        </w:numPr>
      </w:pPr>
      <w:r>
        <w:rPr>
          <w:b/>
          <w:bCs/>
        </w:rPr>
        <w:t xml:space="preserve">Personal-lines growth bought through excessive rate reductions.</w:t>
      </w:r>
    </w:p>
    <w:p>
      <w:pPr>
        <w:pStyle w:val="Compact"/>
        <w:numPr>
          <w:ilvl w:val="0"/>
          <w:numId w:val="1011"/>
        </w:numPr>
      </w:pPr>
      <w:r>
        <w:rPr>
          <w:b/>
          <w:bCs/>
        </w:rPr>
        <w:t xml:space="preserve">Alternative-investment losses larger than expected.</w:t>
      </w:r>
    </w:p>
    <w:p>
      <w:pPr>
        <w:pStyle w:val="Compact"/>
        <w:numPr>
          <w:ilvl w:val="0"/>
          <w:numId w:val="1011"/>
        </w:numPr>
      </w:pPr>
      <w:r>
        <w:rPr>
          <w:b/>
          <w:bCs/>
        </w:rPr>
        <w:t xml:space="preserve">Cautious commentary on casualty reserves or social inflation.</w:t>
      </w:r>
    </w:p>
    <w:p>
      <w:pPr>
        <w:pStyle w:val="Compact"/>
        <w:numPr>
          <w:ilvl w:val="0"/>
          <w:numId w:val="1011"/>
        </w:numPr>
      </w:pPr>
      <w:r>
        <w:rPr>
          <w:b/>
          <w:bCs/>
        </w:rPr>
        <w:t xml:space="preserve">Limited book-value growth after a significant share-price re-rating.</w:t>
      </w:r>
    </w:p>
    <w:bookmarkEnd w:id="26"/>
    <w:bookmarkStart w:id="27" w:name="key-questions-for-the-conference-call"/>
    <w:p>
      <w:pPr>
        <w:pStyle w:val="Heading2"/>
      </w:pPr>
      <w:r>
        <w:t xml:space="preserve">Key questions for the conference call</w:t>
      </w:r>
    </w:p>
    <w:p>
      <w:pPr>
        <w:pStyle w:val="Compact"/>
        <w:numPr>
          <w:ilvl w:val="0"/>
          <w:numId w:val="1012"/>
        </w:numPr>
      </w:pPr>
      <w:r>
        <w:t xml:space="preserve">How did Q2 catastrophe losses compare with the company’s 12.6-point plan?</w:t>
      </w:r>
    </w:p>
    <w:p>
      <w:pPr>
        <w:pStyle w:val="Compact"/>
        <w:numPr>
          <w:ilvl w:val="0"/>
          <w:numId w:val="1012"/>
        </w:numPr>
      </w:pPr>
      <w:r>
        <w:t xml:space="preserve">Is Business Insurance pricing still comfortably aligned with prospective loss costs?</w:t>
      </w:r>
    </w:p>
    <w:p>
      <w:pPr>
        <w:pStyle w:val="Compact"/>
        <w:numPr>
          <w:ilvl w:val="0"/>
          <w:numId w:val="1012"/>
        </w:numPr>
      </w:pPr>
      <w:r>
        <w:t xml:space="preserve">Has the outlook for casualty severity or attorney representation changed since April?</w:t>
      </w:r>
    </w:p>
    <w:p>
      <w:pPr>
        <w:pStyle w:val="Compact"/>
        <w:numPr>
          <w:ilvl w:val="0"/>
          <w:numId w:val="1012"/>
        </w:numPr>
      </w:pPr>
      <w:r>
        <w:t xml:space="preserve">Can Personal Insurance return to policy growth while sustaining current target margins?</w:t>
      </w:r>
    </w:p>
    <w:p>
      <w:pPr>
        <w:pStyle w:val="Compact"/>
        <w:numPr>
          <w:ilvl w:val="0"/>
          <w:numId w:val="1012"/>
        </w:numPr>
      </w:pPr>
      <w:r>
        <w:t xml:space="preserve">How much did lagged alternative-investment results reduce Q2 NII?</w:t>
      </w:r>
    </w:p>
    <w:p>
      <w:pPr>
        <w:pStyle w:val="Compact"/>
        <w:numPr>
          <w:ilvl w:val="0"/>
          <w:numId w:val="1012"/>
        </w:numPr>
      </w:pPr>
      <w:r>
        <w:t xml:space="preserve">Did July 1 reinsurance renewals improve coverage, pricing or attachment points?</w:t>
      </w:r>
    </w:p>
    <w:p>
      <w:pPr>
        <w:pStyle w:val="Compact"/>
        <w:numPr>
          <w:ilvl w:val="0"/>
          <w:numId w:val="1012"/>
        </w:numPr>
      </w:pPr>
      <w:r>
        <w:t xml:space="preserve">What is the normalized buyback capacity after Q1’s unusually large repurchases?</w:t>
      </w:r>
    </w:p>
    <w:p>
      <w:pPr>
        <w:pStyle w:val="Compact"/>
        <w:numPr>
          <w:ilvl w:val="0"/>
          <w:numId w:val="1012"/>
        </w:numPr>
      </w:pPr>
      <w:r>
        <w:t xml:space="preserve">Does management still expect the full-year expense ratio to be approximately 28.5%?</w:t>
      </w:r>
    </w:p>
    <w:bookmarkEnd w:id="27"/>
    <w:bookmarkStart w:id="28" w:name="bottom-line"/>
    <w:p>
      <w:pPr>
        <w:pStyle w:val="Heading2"/>
      </w:pPr>
      <w:r>
        <w:t xml:space="preserve">Bottom line</w:t>
      </w:r>
    </w:p>
    <w:p>
      <w:pPr>
        <w:pStyle w:val="FirstParagraph"/>
      </w:pPr>
      <w:r>
        <w:t xml:space="preserve">The most likely outcome is a lower year-over-year EPS result despite a healthy underlying quarter. The expected decline is primarily a catastrophe-loss comparison—not evidence that Travelers’ earnings engine has weakened.</w:t>
      </w:r>
    </w:p>
    <w:p>
      <w:pPr>
        <w:pStyle w:val="BodyText"/>
      </w:pPr>
      <w:r>
        <w:t xml:space="preserve">The best signal for long-term investors would be an underlying combined ratio around 85%, continued discipline in commercial casualty and signs that Personal Insurance can transition toward growth without sacrificing returns. Conversely, catastrophe volatility alone would be less concerning than a simultaneous deterioration in underlying margins or pricing adequacy.</w:t>
      </w:r>
    </w:p>
    <w:p>
      <w:pPr>
        <w:pStyle w:val="BodyText"/>
      </w:pPr>
      <w:r>
        <w:t xml:space="preserve">With the shares already outperforming,</w:t>
      </w:r>
      <w:r>
        <w:t xml:space="preserve"> </w:t>
      </w:r>
      <w:r>
        <w:rPr>
          <w:b/>
          <w:bCs/>
        </w:rPr>
        <w:t xml:space="preserve">the hurdle is higher than the headline consensus suggests</w:t>
      </w:r>
      <w:r>
        <w:t xml:space="preserve">. A modest EPS beat driven by reserve releases may not be enough; a durable-margin result with cats below plan would be the more meaningful upside case.</w:t>
      </w:r>
    </w:p>
    <w:bookmarkEnd w:id="28"/>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5" Target="https://investor.travelers.com/newsroom/press-releases/news-details/2026/Travelers-Reports-Excellent-First-Quarter-Results/default.aspx" TargetMode="External" /><Relationship Type="http://schemas.openxmlformats.org/officeDocument/2006/relationships/hyperlink" Id="rId11" Target="https://s26.q4cdn.com/410417801/files/doc_financials/2025/q4/4Q25-Webcast-FINAL.pdf" TargetMode="External" /><Relationship Type="http://schemas.openxmlformats.org/officeDocument/2006/relationships/hyperlink" Id="rId22" Target="https://s26.q4cdn.com/410417801/files/doc_financials/2026/q1/1Q26-TRV-Transcript-1.pdf?utm_source=openai" TargetMode="External" /><Relationship Type="http://schemas.openxmlformats.org/officeDocument/2006/relationships/hyperlink" Id="rId12" Target="https://www.ajg.com/gallagherre/news-and-insights/natural-catastrophe-and-climate-report-h1-2026/?utm_source=openai" TargetMode="External" /><Relationship Type="http://schemas.openxmlformats.org/officeDocument/2006/relationships/hyperlink" Id="rId9" Target="https://www.businesswire.com/news/home/20260612689200/en/Travelers-Schedules-Conference-Call-to-Review-Second-Quarter-2026-Results?utm_source=openai" TargetMode="External" /></Relationships>
</file>

<file path=word/_rels/footnotes.xml.rels><?xml version="1.0" encoding="UTF-8"?><Relationships xmlns="http://schemas.openxmlformats.org/package/2006/relationships"><Relationship Type="http://schemas.openxmlformats.org/officeDocument/2006/relationships/hyperlink" Id="rId15" Target="https://investor.travelers.com/newsroom/press-releases/news-details/2026/Travelers-Reports-Excellent-First-Quarter-Results/default.aspx" TargetMode="External" /><Relationship Type="http://schemas.openxmlformats.org/officeDocument/2006/relationships/hyperlink" Id="rId11" Target="https://s26.q4cdn.com/410417801/files/doc_financials/2025/q4/4Q25-Webcast-FINAL.pdf" TargetMode="External" /><Relationship Type="http://schemas.openxmlformats.org/officeDocument/2006/relationships/hyperlink" Id="rId22" Target="https://s26.q4cdn.com/410417801/files/doc_financials/2026/q1/1Q26-TRV-Transcript-1.pdf?utm_source=openai" TargetMode="External" /><Relationship Type="http://schemas.openxmlformats.org/officeDocument/2006/relationships/hyperlink" Id="rId12" Target="https://www.ajg.com/gallagherre/news-and-insights/natural-catastrophe-and-climate-report-h1-2026/?utm_source=openai" TargetMode="External" /><Relationship Type="http://schemas.openxmlformats.org/officeDocument/2006/relationships/hyperlink" Id="rId9" Target="https://www.businesswire.com/news/home/20260612689200/en/Travelers-Schedules-Conference-Call-to-Review-Second-Quarter-2026-Results?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2026-07-17T00:05:58Z</dcterms:created>
  <dcterms:modified xsi:type="dcterms:W3CDTF">2026-07-17T00:05:58Z</dcterms:modified>
</cp:coreProperties>
</file>

<file path=docProps/custom.xml><?xml version="1.0" encoding="utf-8"?>
<Properties xmlns="http://schemas.openxmlformats.org/officeDocument/2006/custom-properties" xmlns:vt="http://schemas.openxmlformats.org/officeDocument/2006/docPropsVTypes"/>
</file>