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trv-earnings-predictions--2026-07-17"/>
    <w:p>
      <w:pPr>
        <w:pStyle w:val="Heading1"/>
      </w:pPr>
      <w:r>
        <w:t xml:space="preserve">TRV Earnings Predictions — 2026-07-17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Core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~$5.65 vs. cons $5.08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Pre-tax catastrophe losses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~$1.05bn vs. cons $1.20bn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Underlying combined ratio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~84.4% vs. cons 85.5%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After-tax fixed-income net investment income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~$845m vs. cons $840m (3Q26)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Full-year underwriting expense ratio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~28.5% vs. cons 28.5% (FY26)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Homeowners renewal premium change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~5.0% vs. cons 5.0% (2H26)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TRV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+3.2%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TRV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+1.2% (FADE)</w:t>
            </w:r>
          </w:p>
        </w:tc>
        <w:tc>
          <w:tcPr/>
          <w:p>
            <w:pPr>
              <w:pStyle w:val="Compact"/>
            </w:pPr>
            <w:r>
              <w:t xml:space="preserve">A ~$0.57 EPS beat versus</w:t>
            </w:r>
            <w:r>
              <w:t xml:space="preserve"> </w:t>
            </w:r>
            <m:oMath>
              <m:r>
                <m:t>5.08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a</m:t>
              </m:r>
              <m:r>
                <m:t>n</m:t>
              </m:r>
              <m:r>
                <m:t>d</m:t>
              </m:r>
              <m:r>
                <m:t>a</m:t>
              </m:r>
              <m:r>
                <m:t> </m:t>
              </m:r>
            </m:oMath>
            <w:r>
              <w:t xml:space="preserve">150m better catastrophe outcome should drive an initial positive reaction, but a largely unchanged ~$845m versus $840m 3Q fixed-income-NII outlook and ~28.5% versus 28.5% expense-ratio outlook leave limited upward revision to out-period earnings; the initial ~3.2% residual move should fade toward ~1.2% by day five.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2026-07-17T00:05:18Z</dcterms:created>
  <dcterms:modified xsi:type="dcterms:W3CDTF">2026-07-17T00:05:18Z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