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1273813e9596e9546b70beb6d9116e0aa3cd04"/>
    <w:p>
      <w:pPr>
        <w:pStyle w:val="Heading1"/>
      </w:pPr>
      <w:r>
        <w:t xml:space="preserve">Travelers (NYSE: TRV) — 2Q26 Earnings Preview</w:t>
      </w:r>
    </w:p>
    <w:p>
      <w:pPr>
        <w:pStyle w:val="FirstParagraph"/>
      </w:pPr>
      <w:r>
        <w:rPr>
          <w:b/>
          <w:bCs/>
        </w:rPr>
        <w:t xml:space="preserve">Event:</w:t>
      </w:r>
      <w:r>
        <w:t xml:space="preserve"> </w:t>
      </w:r>
      <w:r>
        <w:t xml:space="preserve">Travelers reports second-quarter 2026 results</w:t>
      </w:r>
      <w:r>
        <w:t xml:space="preserve"> </w:t>
      </w:r>
      <w:r>
        <w:rPr>
          <w:b/>
          <w:bCs/>
        </w:rPr>
        <w:t xml:space="preserve">before the market opens on Friday, July 17, 2026</w:t>
      </w:r>
      <w:r>
        <w:t xml:space="preserve">, followed by a</w:t>
      </w:r>
      <w:r>
        <w:t xml:space="preserve"> </w:t>
      </w:r>
      <w:r>
        <w:rPr>
          <w:b/>
          <w:bCs/>
        </w:rPr>
        <w:t xml:space="preserve">9:00 a.m. ET</w:t>
      </w:r>
      <w:r>
        <w:t xml:space="preserve"> </w:t>
      </w:r>
      <w:r>
        <w:t xml:space="preserve">earnings call.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TRV enters earnings with the fundamental story intact: exceptionally strong underwriting profitability, rising fixed-income investment income, substantial excess capital, and early evidence that Personal Insurance is pivoting from remediation toward selective growth. The principal near-term swing factor is not the franchise’s normalized earnings power—it is</w:t>
      </w:r>
      <w:r>
        <w:t xml:space="preserve"> </w:t>
      </w:r>
      <w:r>
        <w:rPr>
          <w:b/>
          <w:bCs/>
        </w:rPr>
        <w:t xml:space="preserve">second-quarter catastrophe losses</w:t>
      </w:r>
      <w:r>
        <w:t xml:space="preserve">, particularly homeowners weather exposure.</w:t>
      </w:r>
    </w:p>
    <w:p>
      <w:pPr>
        <w:pStyle w:val="BodyText"/>
      </w:pPr>
      <w:r>
        <w:t xml:space="preserve">The stock closed July 16 at</w:t>
      </w:r>
      <w:r>
        <w:t xml:space="preserve"> </w:t>
      </w:r>
      <w:r>
        <w:rPr>
          <w:b/>
          <w:bCs/>
        </w:rPr>
        <w:t xml:space="preserve">$337.86</w:t>
      </w:r>
      <w:r>
        <w:t xml:space="preserve">, up</w:t>
      </w:r>
      <w:r>
        <w:t xml:space="preserve"> </w:t>
      </w:r>
      <w:r>
        <w:rPr>
          <w:b/>
          <w:bCs/>
        </w:rPr>
        <w:t xml:space="preserve">18.5% year to date</w:t>
      </w:r>
      <w:r>
        <w:t xml:space="preserve"> </w:t>
      </w:r>
      <w:r>
        <w:t xml:space="preserve">and about</w:t>
      </w:r>
      <w:r>
        <w:t xml:space="preserve"> </w:t>
      </w:r>
      <w:r>
        <w:rPr>
          <w:b/>
          <w:bCs/>
        </w:rPr>
        <w:t xml:space="preserve">15.8% above its March 31 close</w:t>
      </w:r>
      <w:r>
        <w:t xml:space="preserve">. It is only 1.7% below its July 7 high, suggesting investors already recognize the strength of the underlying business and may require a clean weather outcome, durable margins, and credible growth commentary to sustain upside.</w:t>
      </w:r>
    </w:p>
    <w:bookmarkEnd w:id="9"/>
    <w:bookmarkStart w:id="10" w:name="X41a3c1f0eec3b8ebf5dc19b406f820674a0b1e3"/>
    <w:p>
      <w:pPr>
        <w:pStyle w:val="Heading2"/>
      </w:pPr>
      <w:r>
        <w:t xml:space="preserve">The setup: strong core earnings, but a difficult weather quarter</w:t>
      </w:r>
    </w:p>
    <w:p>
      <w:pPr>
        <w:pStyle w:val="FirstParagraph"/>
      </w:pPr>
      <w:r>
        <w:t xml:space="preserve">Travelers’ 1Q26 was outstanding: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1Q26 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$7.71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$1.70bn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Consolidated combined ratio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88.6%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Underlying combined ratio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85.3%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Pre-tax catastrophe losses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$761m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Pre-tax favorable prior-year reserve development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$413m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After-tax net investment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$833m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book value per share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$161.60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Capital returned to shareholders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$2.22bn</w:t>
            </w:r>
          </w:p>
        </w:tc>
      </w:tr>
    </w:tbl>
    <w:p>
      <w:pPr>
        <w:pStyle w:val="BodyText"/>
      </w:pPr>
      <w:r>
        <w:t xml:space="preserve">The quality of the quarter was particularly notable: underlying underwriting income was</w:t>
      </w:r>
      <w:r>
        <w:t xml:space="preserve"> </w:t>
      </w:r>
      <w:r>
        <w:rPr>
          <w:b/>
          <w:bCs/>
        </w:rPr>
        <w:t xml:space="preserve">$1.52bn pre-tax</w:t>
      </w:r>
      <w:r>
        <w:t xml:space="preserve">, the sixth consecutive quarter above $1.5bn, while trailing-four-quarter core ROE reached</w:t>
      </w:r>
      <w:r>
        <w:t xml:space="preserve"> </w:t>
      </w:r>
      <w:r>
        <w:rPr>
          <w:b/>
          <w:bCs/>
        </w:rPr>
        <w:t xml:space="preserve">22.7%</w:t>
      </w:r>
      <w:r>
        <w:t xml:space="preserve">.</w:t>
      </w:r>
    </w:p>
    <w:p>
      <w:pPr>
        <w:pStyle w:val="BodyText"/>
      </w:pPr>
      <w:r>
        <w:t xml:space="preserve">However, investors should not extrapolate the first-quarter all-in combined ratio into 2Q. Management explicitly noted that</w:t>
      </w:r>
      <w:r>
        <w:t xml:space="preserve"> </w:t>
      </w:r>
      <w:r>
        <w:rPr>
          <w:b/>
          <w:bCs/>
        </w:rPr>
        <w:t xml:space="preserve">the second quarter is historically the seasonally highest quarter for homeowners weather-related losses</w:t>
      </w:r>
      <w:r>
        <w:t xml:space="preserve">. That makes catastrophe losses the largest source of potential variance relative to expectations and to last year.</w:t>
      </w:r>
    </w:p>
    <w:bookmarkEnd w:id="10"/>
    <w:bookmarkStart w:id="11" w:name="Xf9adc296d57a0c0e7d57791b2c76bd97d2c4bb5"/>
    <w:p>
      <w:pPr>
        <w:pStyle w:val="Heading2"/>
      </w:pPr>
      <w:r>
        <w:t xml:space="preserve">The most relevant comparison: 2Q25 was already a strong quarter</w:t>
      </w:r>
    </w:p>
    <w:p>
      <w:pPr>
        <w:pStyle w:val="FirstParagraph"/>
      </w:pPr>
      <w:r>
        <w:t xml:space="preserve">TRV’s 2Q25 results establish a demanding year-over-year base: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2Q25 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$6.51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$1.50bn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written premiums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$11.54bn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Consolidated combined ratio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90.3%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Underlying combined ratio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84.7%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Pre-tax catastrophe losses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$927m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Pre-tax favorable reserve development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$315m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After-tax net investment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$774m</w:t>
            </w:r>
          </w:p>
        </w:tc>
      </w:tr>
    </w:tbl>
    <w:p>
      <w:pPr>
        <w:pStyle w:val="BodyText"/>
      </w:pPr>
      <w:r>
        <w:t xml:space="preserve">Thus, a favorable headline EPS comparison is not assured simply by the underlying business remaining strong. The major variables are: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Catastrophe losses versus the $927m pre-tax incurred in 2Q25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Reserve development versus last year’s $315m favorable contribution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underlying combined ratio remains in the mid-80s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impact of lagged alternative-investment marks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pace of premium growth after the Canada divestiture</w:t>
      </w:r>
    </w:p>
    <w:bookmarkEnd w:id="11"/>
    <w:bookmarkStart w:id="19" w:name="what-matters-most-in-the-release"/>
    <w:p>
      <w:pPr>
        <w:pStyle w:val="Heading2"/>
      </w:pPr>
      <w:r>
        <w:t xml:space="preserve">What matters most in the release</w:t>
      </w:r>
    </w:p>
    <w:bookmarkStart w:id="12" w:name="Xfef2e083928c4108ef13d09d574b925471baf93"/>
    <w:p>
      <w:pPr>
        <w:pStyle w:val="Heading3"/>
      </w:pPr>
      <w:r>
        <w:t xml:space="preserve">1. Catastrophe losses: the decisive earnings variable</w:t>
      </w:r>
    </w:p>
    <w:p>
      <w:pPr>
        <w:pStyle w:val="FirstParagraph"/>
      </w:pPr>
      <w:r>
        <w:t xml:space="preserve">Travelers reported $761m of pre-tax catastrophe losses in 1Q26, mainly from winter storms and a major tornado/hail event. For 2Q, the key issue shifts more heavily toward severe convective storms and homeowners exposure.</w:t>
      </w:r>
    </w:p>
    <w:p>
      <w:pPr>
        <w:pStyle w:val="BodyText"/>
      </w:pPr>
      <w:r>
        <w:t xml:space="preserve">A result materially below the</w:t>
      </w:r>
      <w:r>
        <w:t xml:space="preserve"> </w:t>
      </w:r>
      <w:r>
        <w:rPr>
          <w:b/>
          <w:bCs/>
        </w:rPr>
        <w:t xml:space="preserve">$927m</w:t>
      </w:r>
      <w:r>
        <w:t xml:space="preserve"> </w:t>
      </w:r>
      <w:r>
        <w:t xml:space="preserve">catastrophe burden in 2Q25 would create a favorable earnings setup given higher investment income and the company’s continuing underwriting strength. Conversely, weather materially above that level could obscure otherwise strong execution.</w:t>
      </w:r>
    </w:p>
    <w:p>
      <w:pPr>
        <w:pStyle w:val="BodyText"/>
      </w:pPr>
      <w:r>
        <w:t xml:space="preserve">Investors should focus on the catastrophe-loss figure, its mix between Commercial and Personal lines, and any discussion of reinsurance recoveries or reinstatement costs.</w:t>
      </w:r>
    </w:p>
    <w:bookmarkEnd w:id="12"/>
    <w:bookmarkStart w:id="13" w:name="X72bc7c6b62ba78d7d30b7a4cbb69e62537323af"/>
    <w:p>
      <w:pPr>
        <w:pStyle w:val="Heading3"/>
      </w:pPr>
      <w:r>
        <w:t xml:space="preserve">2. Underlying combined ratio: the cleaner test of earnings quality</w:t>
      </w:r>
    </w:p>
    <w:p>
      <w:pPr>
        <w:pStyle w:val="FirstParagraph"/>
      </w:pPr>
      <w:r>
        <w:t xml:space="preserve">The best measure of operating execution is the underlying combined ratio, which excludes catastrophes and prior-year reserve development.</w:t>
      </w:r>
    </w:p>
    <w:p>
      <w:pPr>
        <w:pStyle w:val="BodyText"/>
      </w:pPr>
      <w:r>
        <w:t xml:space="preserve">Travelers’ recent performance has been exceptional: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underlying combined ratio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underlying combined ratio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Business Insurance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89.8%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88.3%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Bond &amp; Specialty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88.9%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87.8%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Personal Insurance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78.3%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79.3%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Consolidated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85.3%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84.7%</w:t>
            </w:r>
          </w:p>
        </w:tc>
      </w:tr>
    </w:tbl>
    <w:p>
      <w:pPr>
        <w:pStyle w:val="BodyText"/>
      </w:pPr>
      <w:r>
        <w:t xml:space="preserve">The central question is whether TRV can maintain an underlying combined ratio around the mid-80s despite moderating price increases and a more deliberate push for profitable growth in Personal Insurance.</w:t>
      </w:r>
    </w:p>
    <w:p>
      <w:pPr>
        <w:pStyle w:val="BodyText"/>
      </w:pPr>
      <w:r>
        <w:t xml:space="preserve">A stable or improving underlying margin would reinforce the view that Travelers’ earnings power is structural—not merely a product of favorable reserve development or lower catastrophe activity.</w:t>
      </w:r>
    </w:p>
    <w:bookmarkEnd w:id="13"/>
    <w:bookmarkStart w:id="14" w:name="X0d9786a3c1591b7343f9f0d1b1c3db390dd2096"/>
    <w:p>
      <w:pPr>
        <w:pStyle w:val="Heading3"/>
      </w:pPr>
      <w:r>
        <w:t xml:space="preserve">3. Personal Insurance: from turnaround to selective growth</w:t>
      </w:r>
    </w:p>
    <w:p>
      <w:pPr>
        <w:pStyle w:val="FirstParagraph"/>
      </w:pPr>
      <w:r>
        <w:t xml:space="preserve">Personal Insurance is now the most important incremental growth debate.</w:t>
      </w:r>
    </w:p>
    <w:p>
      <w:pPr>
        <w:pStyle w:val="BodyText"/>
      </w:pPr>
      <w:r>
        <w:t xml:space="preserve">In 1Q26, the segment posted an</w:t>
      </w:r>
      <w:r>
        <w:t xml:space="preserve"> </w:t>
      </w:r>
      <w:r>
        <w:rPr>
          <w:b/>
          <w:bCs/>
        </w:rPr>
        <w:t xml:space="preserve">82.9% reported combined ratio</w:t>
      </w:r>
      <w:r>
        <w:t xml:space="preserve"> </w:t>
      </w:r>
      <w:r>
        <w:t xml:space="preserve">and a</w:t>
      </w:r>
      <w:r>
        <w:t xml:space="preserve"> </w:t>
      </w:r>
      <w:r>
        <w:rPr>
          <w:b/>
          <w:bCs/>
        </w:rPr>
        <w:t xml:space="preserve">78.3% underlying combined ratio</w:t>
      </w:r>
      <w:r>
        <w:t xml:space="preserve">, with strong profitability in both Auto and Homeowners. Management indicated that its multiyear portfolio remediation—rate, underwriting restrictions, terms and conditions, geographic exposure management, and insurance-to-value actions—is largely complete.</w:t>
      </w:r>
    </w:p>
    <w:p>
      <w:pPr>
        <w:pStyle w:val="BodyText"/>
      </w:pPr>
      <w:r>
        <w:t xml:space="preserve">The trade-off is that premium growth remains subdued. First-quarter Personal Insurance net written premiums fell 9% year over year, including the Canada divestiture; excluding Canada, they declined 5%. Management cited deliberate actions to improve property mix and reduce exposure in high-catastrophe geographies, as well as higher ceded premium from the renewed enterprise catastrophe reinsurance program.</w:t>
      </w:r>
    </w:p>
    <w:p>
      <w:pPr>
        <w:pStyle w:val="BodyText"/>
      </w:pPr>
      <w:r>
        <w:t xml:space="preserve">For 2Q, investors should look for:</w:t>
      </w:r>
    </w:p>
    <w:p>
      <w:pPr>
        <w:pStyle w:val="Compact"/>
        <w:numPr>
          <w:ilvl w:val="0"/>
          <w:numId w:val="1002"/>
        </w:numPr>
      </w:pPr>
      <w:r>
        <w:t xml:space="preserve">Auto and homeowners retention trends;</w:t>
      </w:r>
    </w:p>
    <w:p>
      <w:pPr>
        <w:pStyle w:val="Compact"/>
        <w:numPr>
          <w:ilvl w:val="0"/>
          <w:numId w:val="1002"/>
        </w:numPr>
      </w:pPr>
      <w:r>
        <w:t xml:space="preserve">Evidence that new-business policies and premium are building;</w:t>
      </w:r>
    </w:p>
    <w:p>
      <w:pPr>
        <w:pStyle w:val="Compact"/>
        <w:numPr>
          <w:ilvl w:val="0"/>
          <w:numId w:val="1002"/>
        </w:numPr>
      </w:pPr>
      <w:r>
        <w:t xml:space="preserve">The pace of homeowners renewal-price moderation toward mid-single digits;</w:t>
      </w:r>
    </w:p>
    <w:p>
      <w:pPr>
        <w:pStyle w:val="Compact"/>
        <w:numPr>
          <w:ilvl w:val="0"/>
          <w:numId w:val="1002"/>
        </w:numPr>
      </w:pPr>
      <w:r>
        <w:t xml:space="preserve">Whether growth initiatives—expanded eligibility, fewer agent-binding restrictions, additional agency appointments, and improved segmentation—are beginning to lift production without sacrificing margins;</w:t>
      </w:r>
    </w:p>
    <w:p>
      <w:pPr>
        <w:pStyle w:val="Compact"/>
        <w:numPr>
          <w:ilvl w:val="0"/>
          <w:numId w:val="1002"/>
        </w:numPr>
      </w:pPr>
      <w:r>
        <w:t xml:space="preserve">Any indication that weather or loss-cost trends are changing the profitability outlook.</w:t>
      </w:r>
    </w:p>
    <w:p>
      <w:pPr>
        <w:pStyle w:val="FirstParagraph"/>
      </w:pPr>
      <w:r>
        <w:t xml:space="preserve">The bull case is that Personal Insurance can grow from an unusually profitable base. The risk is that growth requires more pricing or underwriting concessions than investors expect.</w:t>
      </w:r>
    </w:p>
    <w:bookmarkEnd w:id="14"/>
    <w:bookmarkStart w:id="15" w:name="Xc3d2dd977ac1da43c193392a74580b24dfb8f88"/>
    <w:p>
      <w:pPr>
        <w:pStyle w:val="Heading3"/>
      </w:pPr>
      <w:r>
        <w:t xml:space="preserve">4. Commercial pricing, retention, and casualty discipline</w:t>
      </w:r>
    </w:p>
    <w:p>
      <w:pPr>
        <w:pStyle w:val="FirstParagraph"/>
      </w:pPr>
      <w:r>
        <w:t xml:space="preserve">Business Insurance remains a core earnings engine, but the pricing cycle is maturing. In 1Q26, renewal premium change was</w:t>
      </w:r>
      <w:r>
        <w:t xml:space="preserve"> </w:t>
      </w:r>
      <w:r>
        <w:rPr>
          <w:b/>
          <w:bCs/>
        </w:rPr>
        <w:t xml:space="preserve">5.8%</w:t>
      </w:r>
      <w:r>
        <w:t xml:space="preserve">, while retention improved to</w:t>
      </w:r>
      <w:r>
        <w:t xml:space="preserve"> </w:t>
      </w:r>
      <w:r>
        <w:rPr>
          <w:b/>
          <w:bCs/>
        </w:rPr>
        <w:t xml:space="preserve">86%</w:t>
      </w:r>
      <w:r>
        <w:t xml:space="preserve">. Excluding property, renewal premium change was nearly 8%; auto, commercial multi-peril, and umbrella pricing remained in double digits.</w:t>
      </w:r>
    </w:p>
    <w:p>
      <w:pPr>
        <w:pStyle w:val="BodyText"/>
      </w:pPr>
      <w:r>
        <w:t xml:space="preserve">Travelers continues to carry an uncertainty provision in its casualty loss picks because it has not seen meaningful improvement in attorney representation rates, liability severity, or payout-tail length. This is prudent, but it means investors should watch closely for:</w:t>
      </w:r>
    </w:p>
    <w:p>
      <w:pPr>
        <w:pStyle w:val="Compact"/>
        <w:numPr>
          <w:ilvl w:val="0"/>
          <w:numId w:val="1003"/>
        </w:numPr>
      </w:pPr>
      <w:r>
        <w:t xml:space="preserve">Pricing in commercial auto, general liability, and umbrella;</w:t>
      </w:r>
    </w:p>
    <w:p>
      <w:pPr>
        <w:pStyle w:val="Compact"/>
        <w:numPr>
          <w:ilvl w:val="0"/>
          <w:numId w:val="1003"/>
        </w:numPr>
      </w:pPr>
      <w:r>
        <w:t xml:space="preserve">Retention as pricing moderates;</w:t>
      </w:r>
    </w:p>
    <w:p>
      <w:pPr>
        <w:pStyle w:val="Compact"/>
        <w:numPr>
          <w:ilvl w:val="0"/>
          <w:numId w:val="1003"/>
        </w:numPr>
      </w:pPr>
      <w:r>
        <w:t xml:space="preserve">Any reserve actions or change in loss-pick language;</w:t>
      </w:r>
    </w:p>
    <w:p>
      <w:pPr>
        <w:pStyle w:val="Compact"/>
        <w:numPr>
          <w:ilvl w:val="0"/>
          <w:numId w:val="1003"/>
        </w:numPr>
      </w:pPr>
      <w:r>
        <w:t xml:space="preserve">Continued workers’ compensation reserve favorability;</w:t>
      </w:r>
    </w:p>
    <w:p>
      <w:pPr>
        <w:pStyle w:val="Compact"/>
        <w:numPr>
          <w:ilvl w:val="0"/>
          <w:numId w:val="1003"/>
        </w:numPr>
      </w:pPr>
      <w:r>
        <w:t xml:space="preserve">Middle Market and Select Accounts new-business production.</w:t>
      </w:r>
    </w:p>
    <w:p>
      <w:pPr>
        <w:pStyle w:val="FirstParagraph"/>
      </w:pPr>
      <w:r>
        <w:t xml:space="preserve">The constructive interpretation would be stable retention, continued positive pricing, and loss picks that remain conservative without adverse development.</w:t>
      </w:r>
    </w:p>
    <w:bookmarkEnd w:id="15"/>
    <w:bookmarkStart w:id="16" w:name="X90d48258810cf514029063647e43794016cd627"/>
    <w:p>
      <w:pPr>
        <w:pStyle w:val="Heading3"/>
      </w:pPr>
      <w:r>
        <w:t xml:space="preserve">5. Bond &amp; Specialty: growth and margins in surety</w:t>
      </w:r>
    </w:p>
    <w:p>
      <w:pPr>
        <w:pStyle w:val="FirstParagraph"/>
      </w:pPr>
      <w:r>
        <w:t xml:space="preserve">Bond &amp; Specialty remains a differentiated contributor. In 1Q26, segment net written premiums rose 7%, led by</w:t>
      </w:r>
      <w:r>
        <w:t xml:space="preserve"> </w:t>
      </w:r>
      <w:r>
        <w:rPr>
          <w:b/>
          <w:bCs/>
        </w:rPr>
        <w:t xml:space="preserve">14% surety growth</w:t>
      </w:r>
      <w:r>
        <w:t xml:space="preserve">, while the underlying combined ratio was still a strong 88.9%.</w:t>
      </w:r>
    </w:p>
    <w:p>
      <w:pPr>
        <w:pStyle w:val="BodyText"/>
      </w:pPr>
      <w:r>
        <w:t xml:space="preserve">The key questions are whether infrastructure-related surety demand remains broad based, whether management-liability pricing continues to improve, and whether the high margins can hold as premium growth continues. A strong surety result would support the argument that Travelers has multiple growth engines beyond Personal Lines recovery.</w:t>
      </w:r>
    </w:p>
    <w:bookmarkEnd w:id="16"/>
    <w:bookmarkStart w:id="17" w:name="Xfb517494f950111a1fd0804934e0a518b4c88ac"/>
    <w:p>
      <w:pPr>
        <w:pStyle w:val="Heading3"/>
      </w:pPr>
      <w:r>
        <w:t xml:space="preserve">6. Net investment income should remain a tailwind—but alternatives could offset</w:t>
      </w:r>
    </w:p>
    <w:p>
      <w:pPr>
        <w:pStyle w:val="FirstParagraph"/>
      </w:pPr>
      <w:r>
        <w:t xml:space="preserve">Management guided to approximately</w:t>
      </w:r>
      <w:r>
        <w:t xml:space="preserve"> </w:t>
      </w:r>
      <w:r>
        <w:rPr>
          <w:b/>
          <w:bCs/>
        </w:rPr>
        <w:t xml:space="preserve">$810m of after-tax fixed-income net investment income in 2Q26</w:t>
      </w:r>
      <w:r>
        <w:t xml:space="preserve">, versus $774m in 2Q25. Higher portfolio yields and a larger invested-asset base remain clear positives.</w:t>
      </w:r>
    </w:p>
    <w:p>
      <w:pPr>
        <w:pStyle w:val="BodyText"/>
      </w:pPr>
      <w:r>
        <w:t xml:space="preserve">The offset is alternative investments. Travelers noted that private-equity, hedge-fund, and real-estate partnership results are generally reported on a one-quarter lag; therefore, financial-market weakness during 1Q26 is expected to affect 2Q26 results.</w:t>
      </w:r>
    </w:p>
    <w:p>
      <w:pPr>
        <w:pStyle w:val="BodyText"/>
      </w:pPr>
      <w:r>
        <w:t xml:space="preserve">The key distinction for investors: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Fixed-income NII:</w:t>
      </w:r>
      <w:r>
        <w:t xml:space="preserve"> </w:t>
      </w:r>
      <w:r>
        <w:t xml:space="preserve">recurring, visible, and expected to rise over time.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Alternative-investment income:</w:t>
      </w:r>
      <w:r>
        <w:t xml:space="preserve"> </w:t>
      </w:r>
      <w:r>
        <w:t xml:space="preserve">potentially volatile and a source of quarter-specific noise.</w:t>
      </w:r>
    </w:p>
    <w:p>
      <w:pPr>
        <w:pStyle w:val="FirstParagraph"/>
      </w:pPr>
      <w:r>
        <w:t xml:space="preserve">Management’s current fixed-income outlook calls for roughly</w:t>
      </w:r>
      <w:r>
        <w:t xml:space="preserve"> </w:t>
      </w:r>
      <m:oMath>
        <m:r>
          <m:t>840</m:t>
        </m:r>
        <m:r>
          <m:t>m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t</m:t>
        </m:r>
        <m:r>
          <m:t>a</m:t>
        </m:r>
        <m:r>
          <m:t>x</m:t>
        </m:r>
        <m:r>
          <m:t>i</m:t>
        </m:r>
        <m:r>
          <m:t>n</m:t>
        </m:r>
        <m:r>
          <m:t>3</m:t>
        </m:r>
        <m:r>
          <m:t>Q</m:t>
        </m:r>
        <m:r>
          <m:t>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870m in 4Q26</w:t>
      </w:r>
      <w:r>
        <w:t xml:space="preserve">, assuming the portfolio and rate backdrop evolve broadly as anticipated.</w:t>
      </w:r>
    </w:p>
    <w:bookmarkEnd w:id="17"/>
    <w:bookmarkStart w:id="18" w:name="X52ff43da75122df6641d9f5516de9b23e2531ed"/>
    <w:p>
      <w:pPr>
        <w:pStyle w:val="Heading3"/>
      </w:pPr>
      <w:r>
        <w:t xml:space="preserve">7. Capital return and book value remain important supports</w:t>
      </w:r>
    </w:p>
    <w:p>
      <w:pPr>
        <w:pStyle w:val="FirstParagraph"/>
      </w:pPr>
      <w:r>
        <w:t xml:space="preserve">Travelers repurchased</w:t>
      </w:r>
      <w:r>
        <w:t xml:space="preserve"> </w:t>
      </w:r>
      <w:r>
        <w:rPr>
          <w:b/>
          <w:bCs/>
        </w:rPr>
        <w:t xml:space="preserve">$1.8bn</w:t>
      </w:r>
      <w:r>
        <w:t xml:space="preserve"> </w:t>
      </w:r>
      <w:r>
        <w:t xml:space="preserve">of stock in the open market during 1Q26, part of</w:t>
      </w:r>
      <w:r>
        <w:t xml:space="preserve"> </w:t>
      </w:r>
      <m:oMath>
        <m:r>
          <m:t>2.22</m:t>
        </m:r>
        <m:r>
          <m:t>b</m:t>
        </m:r>
        <m:r>
          <m:t>n</m:t>
        </m:r>
        <m:r>
          <m:t>o</m:t>
        </m:r>
        <m:r>
          <m:t>f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r</m:t>
        </m:r>
        <m:r>
          <m:t>e</m:t>
        </m:r>
        <m:r>
          <m:t>t</m:t>
        </m:r>
        <m:r>
          <m:t>u</m:t>
        </m:r>
        <m:r>
          <m:t>r</m:t>
        </m:r>
        <m:r>
          <m:t>n</m:t>
        </m:r>
        <m:r>
          <m:t>e</m:t>
        </m:r>
        <m:r>
          <m:t>d</m:t>
        </m:r>
        <m:r>
          <m:rPr>
            <m:sty m:val="p"/>
          </m:rPr>
          <m:t>.</m:t>
        </m:r>
        <m:r>
          <m:t>I</m:t>
        </m:r>
        <m:r>
          <m:t>t</m:t>
        </m:r>
        <m:r>
          <m:t>e</m:t>
        </m:r>
        <m:r>
          <m:t>n</m:t>
        </m:r>
        <m:r>
          <m:t>d</m:t>
        </m:r>
        <m:r>
          <m:t>e</m:t>
        </m:r>
        <m:r>
          <m:t>d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t>w</m:t>
        </m:r>
        <m:r>
          <m:t>i</m:t>
        </m:r>
        <m:r>
          <m:t>t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5.22bn** of remaining repurchase authorization capacity, a debt-to-capital ratio of 22.5%, and adjusted book value per share of $161.60.</w:t>
      </w:r>
    </w:p>
    <w:p>
      <w:pPr>
        <w:pStyle w:val="BodyText"/>
      </w:pPr>
      <w:r>
        <w:t xml:space="preserve">At the July 16 closing price, TRV trades at roughly</w:t>
      </w:r>
      <w:r>
        <w:t xml:space="preserve"> </w:t>
      </w:r>
      <w:r>
        <w:rPr>
          <w:b/>
          <w:bCs/>
        </w:rPr>
        <w:t xml:space="preserve">2.1x 1Q26 adjusted book value per share</w:t>
      </w:r>
      <w:r>
        <w:t xml:space="preserve">—a premium valuation that reflects its high ROE, capital return capacity, and earnings consistency.</w:t>
      </w:r>
    </w:p>
    <w:p>
      <w:pPr>
        <w:pStyle w:val="BodyText"/>
      </w:pPr>
      <w:r>
        <w:t xml:space="preserve">With much of the Canadian-sale proceeds already deployed in 1Q, the issue for 2Q is less about a one-time buyback surge and more about whether Travelers can maintain a durable cadence of repurchases while preserving flexibility for catastrophe volatility, internal investment, and potential M&amp;A.</w:t>
      </w:r>
    </w:p>
    <w:bookmarkEnd w:id="18"/>
    <w:bookmarkEnd w:id="19"/>
    <w:bookmarkStart w:id="20" w:name="key-investor-questions-for-the-call"/>
    <w:p>
      <w:pPr>
        <w:pStyle w:val="Heading2"/>
      </w:pPr>
      <w:r>
        <w:t xml:space="preserve">Key investor questions for the call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What were catastrophe losses, and how did they compare with internal expectations and the 2Q25 $927m baseline?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Did the underlying combined ratio remain near the mid-80s?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Did Personal Insurance new-business momentum translate into improved premium growth, and at what cost to margins?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How quickly are homeowners renewal-price increases moderating, and what does that imply for growth and loss-ratio durability?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Are commercial casualty loss trends, attorney representation, and payout patterns showing any improvement?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How large was the alternative-investment headwind from lagged 1Q market performance?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Did fixed-income NII track the approximately $810m after-tax 2Q outlook?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What was the pace of buybacks, and does management’s capital-deployment framework change after the heavy 1Q repurchase activity?</w:t>
      </w:r>
    </w:p>
    <w:bookmarkEnd w:id="20"/>
    <w:bookmarkStart w:id="24" w:name="earnings-reaction-framework"/>
    <w:p>
      <w:pPr>
        <w:pStyle w:val="Heading2"/>
      </w:pPr>
      <w:r>
        <w:t xml:space="preserve">Earnings reaction framework</w:t>
      </w:r>
    </w:p>
    <w:bookmarkStart w:id="21" w:name="bullish-outcome"/>
    <w:p>
      <w:pPr>
        <w:pStyle w:val="Heading3"/>
      </w:pPr>
      <w:r>
        <w:t xml:space="preserve">Bullish outcome</w:t>
      </w:r>
    </w:p>
    <w:p>
      <w:pPr>
        <w:pStyle w:val="Compact"/>
        <w:numPr>
          <w:ilvl w:val="0"/>
          <w:numId w:val="1006"/>
        </w:numPr>
      </w:pPr>
      <w:r>
        <w:t xml:space="preserve">Catastrophe losses below or near the 2Q25 level;</w:t>
      </w:r>
    </w:p>
    <w:p>
      <w:pPr>
        <w:pStyle w:val="Compact"/>
        <w:numPr>
          <w:ilvl w:val="0"/>
          <w:numId w:val="1006"/>
        </w:numPr>
      </w:pPr>
      <w:r>
        <w:t xml:space="preserve">Underlying combined ratio at or better than roughly 85%;</w:t>
      </w:r>
    </w:p>
    <w:p>
      <w:pPr>
        <w:pStyle w:val="Compact"/>
        <w:numPr>
          <w:ilvl w:val="0"/>
          <w:numId w:val="1006"/>
        </w:numPr>
      </w:pPr>
      <w:r>
        <w:t xml:space="preserve">Personal Insurance growth indicators improve while margins remain exceptionally strong;</w:t>
      </w:r>
    </w:p>
    <w:p>
      <w:pPr>
        <w:pStyle w:val="Compact"/>
        <w:numPr>
          <w:ilvl w:val="0"/>
          <w:numId w:val="1006"/>
        </w:numPr>
      </w:pPr>
      <w:r>
        <w:t xml:space="preserve">Fixed-income NII meets or exceeds guidance, with limited alternative-investment drag;</w:t>
      </w:r>
    </w:p>
    <w:p>
      <w:pPr>
        <w:pStyle w:val="Compact"/>
        <w:numPr>
          <w:ilvl w:val="0"/>
          <w:numId w:val="1006"/>
        </w:numPr>
      </w:pPr>
      <w:r>
        <w:t xml:space="preserve">Favorable reserve development continues without signaling reduced conservatism;</w:t>
      </w:r>
    </w:p>
    <w:p>
      <w:pPr>
        <w:pStyle w:val="Compact"/>
        <w:numPr>
          <w:ilvl w:val="0"/>
          <w:numId w:val="1006"/>
        </w:numPr>
      </w:pPr>
      <w:r>
        <w:t xml:space="preserve">Continued meaningful buybacks and confidence in growth opportunities.</w:t>
      </w:r>
    </w:p>
    <w:bookmarkEnd w:id="21"/>
    <w:bookmarkStart w:id="22" w:name="mixed-outcome"/>
    <w:p>
      <w:pPr>
        <w:pStyle w:val="Heading3"/>
      </w:pPr>
      <w:r>
        <w:t xml:space="preserve">Mixed outcome</w:t>
      </w:r>
    </w:p>
    <w:p>
      <w:pPr>
        <w:pStyle w:val="Compact"/>
        <w:numPr>
          <w:ilvl w:val="0"/>
          <w:numId w:val="1007"/>
        </w:numPr>
      </w:pPr>
      <w:r>
        <w:t xml:space="preserve">Strong underlying underwriting and NII, offset by elevated weather losses;</w:t>
      </w:r>
    </w:p>
    <w:p>
      <w:pPr>
        <w:pStyle w:val="Compact"/>
        <w:numPr>
          <w:ilvl w:val="0"/>
          <w:numId w:val="1007"/>
        </w:numPr>
      </w:pPr>
      <w:r>
        <w:t xml:space="preserve">Personal Insurance profitability holds but premium growth remains negative on an ex-Canada basis;</w:t>
      </w:r>
    </w:p>
    <w:p>
      <w:pPr>
        <w:pStyle w:val="Compact"/>
        <w:numPr>
          <w:ilvl w:val="0"/>
          <w:numId w:val="1007"/>
        </w:numPr>
      </w:pPr>
      <w:r>
        <w:t xml:space="preserve">Alternative investments create an expected but notable drag;</w:t>
      </w:r>
    </w:p>
    <w:p>
      <w:pPr>
        <w:pStyle w:val="Compact"/>
        <w:numPr>
          <w:ilvl w:val="0"/>
          <w:numId w:val="1007"/>
        </w:numPr>
      </w:pPr>
      <w:r>
        <w:t xml:space="preserve">Commercial pricing continues to decelerate while retention remains high.</w:t>
      </w:r>
    </w:p>
    <w:bookmarkEnd w:id="22"/>
    <w:bookmarkStart w:id="23" w:name="bearish-outcome"/>
    <w:p>
      <w:pPr>
        <w:pStyle w:val="Heading3"/>
      </w:pPr>
      <w:r>
        <w:t xml:space="preserve">Bearish outcome</w:t>
      </w:r>
    </w:p>
    <w:p>
      <w:pPr>
        <w:pStyle w:val="Compact"/>
        <w:numPr>
          <w:ilvl w:val="0"/>
          <w:numId w:val="1008"/>
        </w:numPr>
      </w:pPr>
      <w:r>
        <w:t xml:space="preserve">Catastrophe losses significantly exceed the 2Q25 baseline;</w:t>
      </w:r>
    </w:p>
    <w:p>
      <w:pPr>
        <w:pStyle w:val="Compact"/>
        <w:numPr>
          <w:ilvl w:val="0"/>
          <w:numId w:val="1008"/>
        </w:numPr>
      </w:pPr>
      <w:r>
        <w:t xml:space="preserve">Underlying combined ratio deteriorates, particularly in Personal Insurance or Business Insurance;</w:t>
      </w:r>
    </w:p>
    <w:p>
      <w:pPr>
        <w:pStyle w:val="Compact"/>
        <w:numPr>
          <w:ilvl w:val="0"/>
          <w:numId w:val="1008"/>
        </w:numPr>
      </w:pPr>
      <w:r>
        <w:t xml:space="preserve">Adverse casualty reserve development or more caution around social inflation;</w:t>
      </w:r>
    </w:p>
    <w:p>
      <w:pPr>
        <w:pStyle w:val="Compact"/>
        <w:numPr>
          <w:ilvl w:val="0"/>
          <w:numId w:val="1008"/>
        </w:numPr>
      </w:pPr>
      <w:r>
        <w:t xml:space="preserve">Growth requires more aggressive price reductions or broader underwriting concessions;</w:t>
      </w:r>
    </w:p>
    <w:p>
      <w:pPr>
        <w:pStyle w:val="Compact"/>
        <w:numPr>
          <w:ilvl w:val="0"/>
          <w:numId w:val="1008"/>
        </w:numPr>
      </w:pPr>
      <w:r>
        <w:t xml:space="preserve">Alternative investment losses compound a weather-driven EPS miss.</w:t>
      </w:r>
    </w:p>
    <w:bookmarkEnd w:id="23"/>
    <w:bookmarkEnd w:id="24"/>
    <w:bookmarkStart w:id="25" w:name="investment-view-going-into-the-print"/>
    <w:p>
      <w:pPr>
        <w:pStyle w:val="Heading2"/>
      </w:pPr>
      <w:r>
        <w:t xml:space="preserve">Investment view going into the print</w:t>
      </w:r>
    </w:p>
    <w:p>
      <w:pPr>
        <w:pStyle w:val="FirstParagraph"/>
      </w:pPr>
      <w:r>
        <w:t xml:space="preserve">Travelers is entering 2Q26 from a position of strength rather than needing a turnaround. Its investment case rests on a rare combination of high-quality commercial underwriting, a materially improved Personal Insurance franchise, rising recurring investment income, robust capital generation, and a conservative balance sheet.</w:t>
      </w:r>
    </w:p>
    <w:p>
      <w:pPr>
        <w:pStyle w:val="BodyText"/>
      </w:pPr>
      <w:r>
        <w:t xml:space="preserve">The trade-off is valuation and expectations: the market has already rewarded the company’s execution, and second-quarter weather can create meaningful noise. For this report, investors should prioritize</w:t>
      </w:r>
      <w:r>
        <w:t xml:space="preserve"> </w:t>
      </w:r>
      <w:r>
        <w:rPr>
          <w:b/>
          <w:bCs/>
        </w:rPr>
        <w:t xml:space="preserve">underlying combined ratio, catastrophe losses, Personal Insurance production quality, commercial casualty discipline, and investment-income composition</w:t>
      </w:r>
      <w:r>
        <w:t xml:space="preserve"> </w:t>
      </w:r>
      <w:r>
        <w:t xml:space="preserve">over headline EPS alone.</w:t>
      </w:r>
    </w:p>
    <w:p>
      <w:pPr>
        <w:pStyle w:val="BodyText"/>
      </w:pPr>
      <w:r>
        <w:rPr>
          <w:b/>
          <w:bCs/>
        </w:rPr>
        <w:t xml:space="preserve">Source basis:</w:t>
      </w:r>
      <w:r>
        <w:t xml:space="preserve"> </w:t>
      </w:r>
      <w:r>
        <w:t xml:space="preserve">Travelers’ 1Q26 earnings release and earnings-call transcript; Travelers’ 2Q25 earnings release; Travelers’ June 12, 2026 earnings-call scheduling announcement; and TRV historical closing-price data through July 16, 2026.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2026-07-17T00:05:18Z</dcterms:created>
  <dcterms:modified xsi:type="dcterms:W3CDTF">2026-07-17T00:05:18Z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