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TRV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 Travelers Companies, Inc.</w:t>
            </w:r>
          </w:p>
        </w:tc>
      </w:tr>
      <w:tr>
        <w:tc>
          <w:tcPr>
            <w:tcW w:type="dxa" w:w="4320"/>
          </w:tcPr>
          <w:p>
            <w:r>
              <w:rPr>
                <w:rFonts w:ascii="Calibri" w:hAnsi="Calibri"/>
                <w:b/>
                <w:sz w:val="22"/>
              </w:rPr>
              <w:t>Ticker</w:t>
            </w:r>
          </w:p>
        </w:tc>
        <w:tc>
          <w:tcPr>
            <w:tcW w:type="dxa" w:w="4320"/>
          </w:tcPr>
          <w:p>
            <w:r>
              <w:rPr>
                <w:rFonts w:ascii="Calibri" w:hAnsi="Calibri"/>
                <w:sz w:val="22"/>
              </w:rPr>
              <w:t>NYSE: TRV</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17, 2026 — Before Market Open</w:t>
            </w:r>
          </w:p>
        </w:tc>
      </w:tr>
      <w:tr>
        <w:tc>
          <w:tcPr>
            <w:tcW w:type="dxa" w:w="4320"/>
          </w:tcPr>
          <w:p>
            <w:r>
              <w:rPr>
                <w:rFonts w:ascii="Calibri" w:hAnsi="Calibri"/>
                <w:b/>
                <w:sz w:val="22"/>
              </w:rPr>
              <w:t>Conference Call</w:t>
            </w:r>
          </w:p>
        </w:tc>
        <w:tc>
          <w:tcPr>
            <w:tcW w:type="dxa" w:w="4320"/>
          </w:tcPr>
          <w:p>
            <w:r>
              <w:rPr>
                <w:rFonts w:ascii="Calibri" w:hAnsi="Calibri"/>
                <w:sz w:val="22"/>
              </w:rPr>
              <w:t>9:00 AM ET, July 17, 2026</w:t>
            </w:r>
          </w:p>
        </w:tc>
      </w:tr>
      <w:tr>
        <w:tc>
          <w:tcPr>
            <w:tcW w:type="dxa" w:w="4320"/>
          </w:tcPr>
          <w:p>
            <w:r>
              <w:rPr>
                <w:rFonts w:ascii="Calibri" w:hAnsi="Calibri"/>
                <w:b/>
                <w:sz w:val="22"/>
              </w:rPr>
              <w:t>Prepared</w:t>
            </w:r>
          </w:p>
        </w:tc>
        <w:tc>
          <w:tcPr>
            <w:tcW w:type="dxa" w:w="4320"/>
          </w:tcPr>
          <w:p>
            <w:r>
              <w:rPr>
                <w:rFonts w:ascii="Calibri" w:hAnsi="Calibri"/>
                <w:sz w:val="22"/>
              </w:rPr>
              <w:t>July 16,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without risk — </w:t>
      </w:r>
      <w:r>
        <w:rPr>
          <w:rFonts w:ascii="Calibri" w:hAnsi="Calibri"/>
          <w:b/>
          <w:color w:val="525866"/>
          <w:sz w:val="22"/>
        </w:rPr>
        <w:t>consensus is a beatable bar on the underlying combined ratio</w:t>
      </w:r>
      <w:r>
        <w:rPr>
          <w:rFonts w:ascii="Calibri" w:hAnsi="Calibri"/>
          <w:color w:val="525866"/>
          <w:sz w:val="22"/>
        </w:rPr>
        <w:t>, but elevated catastrophe losses from a historically active Q2 storm season and a one-quarter lag on weak Q1 financial market returns hitting non-fixed income NII are the two swing factors that could keep the headline print below the underlying quality.</w:t>
      </w:r>
    </w:p>
    <w:p>
      <w:r>
        <w:rPr>
          <w:rFonts w:ascii="Calibri" w:hAnsi="Calibri"/>
          <w:color w:val="525866"/>
          <w:sz w:val="22"/>
        </w:rPr>
        <w:t xml:space="preserve">Heading into Q2 2026, the bar for TRV looks achievable on the metrics that matter most. Consensus is modeling an </w:t>
      </w:r>
      <w:r>
        <w:rPr>
          <w:rFonts w:ascii="Calibri" w:hAnsi="Calibri"/>
          <w:b/>
          <w:color w:val="525866"/>
          <w:sz w:val="22"/>
        </w:rPr>
        <w:t>underlying combined ratio of ~85.6%</w:t>
      </w:r>
      <w:r>
        <w:rPr>
          <w:rFonts w:ascii="Calibri" w:hAnsi="Calibri"/>
          <w:color w:val="525866"/>
          <w:sz w:val="22"/>
        </w:rPr>
        <w:t xml:space="preserve"> — essentially flat with Q1's 85.3% — and </w:t>
      </w:r>
      <w:r>
        <w:rPr>
          <w:rFonts w:ascii="Calibri" w:hAnsi="Calibri"/>
          <w:b/>
          <w:color w:val="525866"/>
          <w:sz w:val="22"/>
        </w:rPr>
        <w:t>Core EPS of ~$5.38</w:t>
      </w:r>
      <w:r>
        <w:rPr>
          <w:rFonts w:ascii="Calibri" w:hAnsi="Calibri"/>
          <w:color w:val="525866"/>
          <w:sz w:val="22"/>
        </w:rPr>
        <w:t xml:space="preserve">, a step-down from Q1's $7.71 that is largely explained by two known headwinds management flagged explicitly on the Q1 call: (1) the one-quarter lag on non-fixed income investment returns (private equity, hedge funds, real estate partnerships) will reflect Q1's market selloff in Q2 results, and (2) Q2 is seasonally the highest quarter for homeowners weather-related losses. Management's tone on the Q1 call was confident — seven consecutive quarters of over $1 billion in after-tax underlying underwriting income, a 14% dividend increase, and over $2 billion in buybacks in a single quarter signal a company operating from a position of strength. Estimate revisions since the Q1 print have been modestly positive on the underlying combined ratio (from 85.7% to 85.6%) and slightly higher on Core EPS (from $4.85 to $5.38), suggesting the Street has absorbed the known headwinds and is not pricing in a negative surprise. The stock has rallied ~13% since the Q1 earnings close of $298.84 to $337.82 today, outperforming both the KIE (+10%) and SPY (+7%), which means some beat is already priced in and the stock needs a clean print to hold these levels. The </w:t>
      </w:r>
      <w:r>
        <w:rPr>
          <w:rFonts w:ascii="Calibri" w:hAnsi="Calibri"/>
          <w:b/>
          <w:color w:val="525866"/>
          <w:sz w:val="22"/>
        </w:rPr>
        <w:t>wildcard is catastrophe losses</w:t>
      </w:r>
      <w:r>
        <w:rPr>
          <w:rFonts w:ascii="Calibri" w:hAnsi="Calibri"/>
          <w:color w:val="525866"/>
          <w:sz w:val="22"/>
        </w:rPr>
        <w:t>: Q2 is peak storm season, and any material deviation from the ~9.7-point CAT ratio consensus is building in could swing the all-in combined ratio meaningfully — in either direction.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beatable bar on the underlying combined ratio</w:t>
      </w:r>
      <w:r>
        <w:rPr>
          <w:rFonts w:ascii="Calibri" w:hAnsi="Calibri"/>
          <w:color w:val="525866"/>
          <w:sz w:val="22"/>
        </w:rPr>
        <w:t xml:space="preserve"> given TRV's track record of consistently outperforming Street estimates on underwriting profitability; the bigger swing factor is </w:t>
      </w:r>
      <w:r>
        <w:rPr>
          <w:rFonts w:ascii="Calibri" w:hAnsi="Calibri"/>
          <w:b/>
          <w:color w:val="525866"/>
          <w:sz w:val="22"/>
        </w:rPr>
        <w:t>catastrophe losses and the NII lag from Q1 market weakness</w:t>
      </w:r>
      <w:r>
        <w:rPr>
          <w:rFonts w:ascii="Calibri" w:hAnsi="Calibri"/>
          <w:color w:val="525866"/>
          <w:sz w:val="22"/>
        </w:rPr>
        <w:t>, both of which are known headwinds already embedded in the $5.38 Core EPS estimate.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Management Commentary</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Core EPS (Diluted Operating EPS)</w:t>
            </w:r>
          </w:p>
        </w:tc>
        <w:tc>
          <w:tcPr>
            <w:tcW w:type="dxa" w:w="1234"/>
          </w:tcPr>
          <w:p>
            <w:r>
              <w:rPr>
                <w:rFonts w:ascii="Calibri" w:hAnsi="Calibri"/>
                <w:sz w:val="22"/>
              </w:rPr>
              <w:t>$7.77</w:t>
            </w:r>
          </w:p>
        </w:tc>
        <w:tc>
          <w:tcPr>
            <w:tcW w:type="dxa" w:w="1234"/>
          </w:tcPr>
          <w:p>
            <w:r>
              <w:rPr>
                <w:rFonts w:ascii="Calibri" w:hAnsi="Calibri"/>
                <w:sz w:val="22"/>
              </w:rPr>
              <w:t>$6.56</w:t>
            </w:r>
          </w:p>
        </w:tc>
        <w:tc>
          <w:tcPr>
            <w:tcW w:type="dxa" w:w="1234"/>
          </w:tcPr>
          <w:p>
            <w:r>
              <w:rPr>
                <w:rFonts w:ascii="Calibri" w:hAnsi="Calibri"/>
                <w:sz w:val="22"/>
              </w:rPr>
              <w:t>$5.38</w:t>
            </w:r>
          </w:p>
        </w:tc>
        <w:tc>
          <w:tcPr>
            <w:tcW w:type="dxa" w:w="1234"/>
          </w:tcPr>
          <w:p>
            <w:r>
              <w:rPr>
                <w:rFonts w:ascii="Calibri" w:hAnsi="Calibri"/>
                <w:sz w:val="22"/>
              </w:rPr>
              <w:t>-18% YoY</w:t>
            </w:r>
          </w:p>
        </w:tc>
        <w:tc>
          <w:tcPr>
            <w:tcW w:type="dxa" w:w="1234"/>
          </w:tcPr>
          <w:p>
            <w:r>
              <w:rPr>
                <w:rFonts w:ascii="Calibri" w:hAnsi="Calibri"/>
                <w:sz w:val="22"/>
              </w:rPr>
              <w:t>No explicit EPS guidance; known headwinds: NII lag from Q1 market weakness, peak CAT season</w:t>
            </w:r>
          </w:p>
        </w:tc>
        <w:tc>
          <w:tcPr>
            <w:tcW w:type="dxa" w:w="1234"/>
          </w:tcPr>
          <w:p>
            <w:r>
              <w:rPr>
                <w:rFonts w:ascii="Calibri" w:hAnsi="Calibri"/>
                <w:sz w:val="22"/>
              </w:rPr>
              <w:t>N/A — no guidance</w:t>
            </w:r>
          </w:p>
        </w:tc>
      </w:tr>
      <w:tr>
        <w:tc>
          <w:tcPr>
            <w:tcW w:type="dxa" w:w="1234"/>
          </w:tcPr>
          <w:p>
            <w:r>
              <w:rPr>
                <w:rFonts w:ascii="Calibri" w:hAnsi="Calibri"/>
                <w:sz w:val="22"/>
              </w:rPr>
              <w:t>Net Written Premiums</w:t>
            </w:r>
          </w:p>
        </w:tc>
        <w:tc>
          <w:tcPr>
            <w:tcW w:type="dxa" w:w="1234"/>
          </w:tcPr>
          <w:p>
            <w:r>
              <w:rPr>
                <w:rFonts w:ascii="Calibri" w:hAnsi="Calibri"/>
                <w:sz w:val="22"/>
              </w:rPr>
              <w:t>$10.34B</w:t>
            </w:r>
          </w:p>
        </w:tc>
        <w:tc>
          <w:tcPr>
            <w:tcW w:type="dxa" w:w="1234"/>
          </w:tcPr>
          <w:p>
            <w:r>
              <w:rPr>
                <w:rFonts w:ascii="Calibri" w:hAnsi="Calibri"/>
                <w:sz w:val="22"/>
              </w:rPr>
              <w:t>$11.54B</w:t>
            </w:r>
          </w:p>
        </w:tc>
        <w:tc>
          <w:tcPr>
            <w:tcW w:type="dxa" w:w="1234"/>
          </w:tcPr>
          <w:p>
            <w:r>
              <w:rPr>
                <w:rFonts w:ascii="Calibri" w:hAnsi="Calibri"/>
                <w:sz w:val="22"/>
              </w:rPr>
              <w:t>$11.39B</w:t>
            </w:r>
          </w:p>
        </w:tc>
        <w:tc>
          <w:tcPr>
            <w:tcW w:type="dxa" w:w="1234"/>
          </w:tcPr>
          <w:p>
            <w:r>
              <w:rPr>
                <w:rFonts w:ascii="Calibri" w:hAnsi="Calibri"/>
                <w:sz w:val="22"/>
              </w:rPr>
              <w:t>-1.3% YoY</w:t>
            </w:r>
          </w:p>
        </w:tc>
        <w:tc>
          <w:tcPr>
            <w:tcW w:type="dxa" w:w="1234"/>
          </w:tcPr>
          <w:p>
            <w:r>
              <w:rPr>
                <w:rFonts w:ascii="Calibri" w:hAnsi="Calibri"/>
                <w:sz w:val="22"/>
              </w:rPr>
              <w:t>Canadian ops sale (closed Jan 2, 2026) reduces reported NWP; organic growth remains constructive across all segments</w:t>
            </w:r>
          </w:p>
        </w:tc>
        <w:tc>
          <w:tcPr>
            <w:tcW w:type="dxa" w:w="1234"/>
          </w:tcPr>
          <w:p>
            <w:r>
              <w:rPr>
                <w:rFonts w:ascii="Calibri" w:hAnsi="Calibri"/>
                <w:sz w:val="22"/>
              </w:rPr>
              <w:t>N/A — no explicit guidance</w:t>
            </w:r>
          </w:p>
        </w:tc>
      </w:tr>
      <w:tr>
        <w:tc>
          <w:tcPr>
            <w:tcW w:type="dxa" w:w="1234"/>
          </w:tcPr>
          <w:p>
            <w:r>
              <w:rPr>
                <w:rFonts w:ascii="Calibri" w:hAnsi="Calibri"/>
                <w:sz w:val="22"/>
              </w:rPr>
              <w:t>Underlying Combined Ratio (Ex-CAT, Ex-Reserve Dev.)</w:t>
            </w:r>
          </w:p>
        </w:tc>
        <w:tc>
          <w:tcPr>
            <w:tcW w:type="dxa" w:w="1234"/>
          </w:tcPr>
          <w:p>
            <w:r>
              <w:rPr>
                <w:rFonts w:ascii="Calibri" w:hAnsi="Calibri"/>
                <w:sz w:val="22"/>
              </w:rPr>
              <w:t>85.3%</w:t>
            </w:r>
          </w:p>
        </w:tc>
        <w:tc>
          <w:tcPr>
            <w:tcW w:type="dxa" w:w="1234"/>
          </w:tcPr>
          <w:p>
            <w:r>
              <w:rPr>
                <w:rFonts w:ascii="Calibri" w:hAnsi="Calibri"/>
                <w:sz w:val="22"/>
              </w:rPr>
              <w:t>84.7%</w:t>
            </w:r>
          </w:p>
        </w:tc>
        <w:tc>
          <w:tcPr>
            <w:tcW w:type="dxa" w:w="1234"/>
          </w:tcPr>
          <w:p>
            <w:r>
              <w:rPr>
                <w:rFonts w:ascii="Calibri" w:hAnsi="Calibri"/>
                <w:sz w:val="22"/>
              </w:rPr>
              <w:t>85.6%</w:t>
            </w:r>
          </w:p>
        </w:tc>
        <w:tc>
          <w:tcPr>
            <w:tcW w:type="dxa" w:w="1234"/>
          </w:tcPr>
          <w:p>
            <w:r>
              <w:rPr>
                <w:rFonts w:ascii="Calibri" w:hAnsi="Calibri"/>
                <w:sz w:val="22"/>
              </w:rPr>
              <w:t>+0.9 pts YoY</w:t>
            </w:r>
          </w:p>
        </w:tc>
        <w:tc>
          <w:tcPr>
            <w:tcW w:type="dxa" w:w="1234"/>
          </w:tcPr>
          <w:p>
            <w:r>
              <w:rPr>
                <w:rFonts w:ascii="Calibri" w:hAnsi="Calibri"/>
                <w:sz w:val="22"/>
              </w:rPr>
              <w:t>Full-year expense ratio guided ~28.5%; Q2 historically highest CAT quarter for Homeowners</w:t>
            </w:r>
          </w:p>
        </w:tc>
        <w:tc>
          <w:tcPr>
            <w:tcW w:type="dxa" w:w="1234"/>
          </w:tcPr>
          <w:p>
            <w:r>
              <w:rPr>
                <w:rFonts w:ascii="Calibri" w:hAnsi="Calibri"/>
                <w:sz w:val="22"/>
              </w:rPr>
              <w:t>~+1.1 pts above prior year actuals (modest deterioration expected)</w:t>
            </w:r>
          </w:p>
        </w:tc>
      </w:tr>
      <w:tr>
        <w:tc>
          <w:tcPr>
            <w:tcW w:type="dxa" w:w="1234"/>
          </w:tcPr>
          <w:p>
            <w:r>
              <w:rPr>
                <w:rFonts w:ascii="Calibri" w:hAnsi="Calibri"/>
                <w:sz w:val="22"/>
              </w:rPr>
              <w:t>Net Investment Income (Post-Tax, Fixed Income)</w:t>
            </w:r>
          </w:p>
        </w:tc>
        <w:tc>
          <w:tcPr>
            <w:tcW w:type="dxa" w:w="1234"/>
          </w:tcPr>
          <w:p>
            <w:r>
              <w:rPr>
                <w:rFonts w:ascii="Calibri" w:hAnsi="Calibri"/>
                <w:sz w:val="22"/>
              </w:rPr>
              <w:t>$833M</w:t>
            </w:r>
          </w:p>
        </w:tc>
        <w:tc>
          <w:tcPr>
            <w:tcW w:type="dxa" w:w="1234"/>
          </w:tcPr>
          <w:p>
            <w:r>
              <w:rPr>
                <w:rFonts w:ascii="Calibri" w:hAnsi="Calibri"/>
                <w:sz w:val="22"/>
              </w:rPr>
              <w:t>$774M</w:t>
            </w:r>
          </w:p>
        </w:tc>
        <w:tc>
          <w:tcPr>
            <w:tcW w:type="dxa" w:w="1234"/>
          </w:tcPr>
          <w:p>
            <w:r>
              <w:rPr>
                <w:rFonts w:ascii="Calibri" w:hAnsi="Calibri"/>
                <w:sz w:val="22"/>
              </w:rPr>
              <w:t>$829M</w:t>
            </w:r>
          </w:p>
        </w:tc>
        <w:tc>
          <w:tcPr>
            <w:tcW w:type="dxa" w:w="1234"/>
          </w:tcPr>
          <w:p>
            <w:r>
              <w:rPr>
                <w:rFonts w:ascii="Calibri" w:hAnsi="Calibri"/>
                <w:sz w:val="22"/>
              </w:rPr>
              <w:t>+7.1% YoY</w:t>
            </w:r>
          </w:p>
        </w:tc>
        <w:tc>
          <w:tcPr>
            <w:tcW w:type="dxa" w:w="1234"/>
          </w:tcPr>
          <w:p>
            <w:r>
              <w:rPr>
                <w:rFonts w:ascii="Calibri" w:hAnsi="Calibri"/>
                <w:sz w:val="22"/>
              </w:rPr>
              <w:t>Management guided ~$810M after-tax fixed income NII for Q2 2026</w:t>
            </w:r>
          </w:p>
        </w:tc>
        <w:tc>
          <w:tcPr>
            <w:tcW w:type="dxa" w:w="1234"/>
          </w:tcPr>
          <w:p>
            <w:r>
              <w:rPr>
                <w:rFonts w:ascii="Calibri" w:hAnsi="Calibri"/>
                <w:sz w:val="22"/>
              </w:rPr>
              <w:t>+2.3% above guidance midpoint ($810M)</w:t>
            </w:r>
          </w:p>
        </w:tc>
      </w:tr>
      <w:tr>
        <w:tc>
          <w:tcPr>
            <w:tcW w:type="dxa" w:w="1234"/>
          </w:tcPr>
          <w:p>
            <w:r>
              <w:rPr>
                <w:rFonts w:ascii="Calibri" w:hAnsi="Calibri"/>
                <w:sz w:val="22"/>
              </w:rPr>
              <w:t>All-In Combined Ratio</w:t>
            </w:r>
          </w:p>
        </w:tc>
        <w:tc>
          <w:tcPr>
            <w:tcW w:type="dxa" w:w="1234"/>
          </w:tcPr>
          <w:p>
            <w:r>
              <w:rPr>
                <w:rFonts w:ascii="Calibri" w:hAnsi="Calibri"/>
                <w:sz w:val="22"/>
              </w:rPr>
              <w:t>88.6%</w:t>
            </w:r>
          </w:p>
        </w:tc>
        <w:tc>
          <w:tcPr>
            <w:tcW w:type="dxa" w:w="1234"/>
          </w:tcPr>
          <w:p>
            <w:r>
              <w:rPr>
                <w:rFonts w:ascii="Calibri" w:hAnsi="Calibri"/>
                <w:sz w:val="22"/>
              </w:rPr>
              <w:t>90.3%</w:t>
            </w:r>
          </w:p>
        </w:tc>
        <w:tc>
          <w:tcPr>
            <w:tcW w:type="dxa" w:w="1234"/>
          </w:tcPr>
          <w:p>
            <w:r>
              <w:rPr>
                <w:rFonts w:ascii="Calibri" w:hAnsi="Calibri"/>
                <w:sz w:val="22"/>
              </w:rPr>
              <w:t>95.3%</w:t>
            </w:r>
          </w:p>
        </w:tc>
        <w:tc>
          <w:tcPr>
            <w:tcW w:type="dxa" w:w="1234"/>
          </w:tcPr>
          <w:p>
            <w:r>
              <w:rPr>
                <w:rFonts w:ascii="Calibri" w:hAnsi="Calibri"/>
                <w:sz w:val="22"/>
              </w:rPr>
              <w:t>+5.0 pts YoY</w:t>
            </w:r>
          </w:p>
        </w:tc>
        <w:tc>
          <w:tcPr>
            <w:tcW w:type="dxa" w:w="1234"/>
          </w:tcPr>
          <w:p>
            <w:r>
              <w:rPr>
                <w:rFonts w:ascii="Calibri" w:hAnsi="Calibri"/>
                <w:sz w:val="22"/>
              </w:rPr>
              <w:t>Q2 is peak CAT season; no explicit all-in guidance</w:t>
            </w:r>
          </w:p>
        </w:tc>
        <w:tc>
          <w:tcPr>
            <w:tcW w:type="dxa" w:w="1234"/>
          </w:tcPr>
          <w:p>
            <w:r>
              <w:rPr>
                <w:rFonts w:ascii="Calibri" w:hAnsi="Calibri"/>
                <w:sz w:val="22"/>
              </w:rPr>
              <w:t>N/A — no guidance</w:t>
            </w:r>
          </w:p>
        </w:tc>
      </w:tr>
      <w:tr>
        <w:tc>
          <w:tcPr>
            <w:tcW w:type="dxa" w:w="1234"/>
          </w:tcPr>
          <w:p>
            <w:r>
              <w:rPr>
                <w:rFonts w:ascii="Calibri" w:hAnsi="Calibri"/>
                <w:sz w:val="22"/>
              </w:rPr>
              <w:t>Operating ROE</w:t>
            </w:r>
          </w:p>
        </w:tc>
        <w:tc>
          <w:tcPr>
            <w:tcW w:type="dxa" w:w="1234"/>
          </w:tcPr>
          <w:p>
            <w:r>
              <w:rPr>
                <w:rFonts w:ascii="Calibri" w:hAnsi="Calibri"/>
                <w:sz w:val="22"/>
              </w:rPr>
              <w:t>19.7%</w:t>
            </w:r>
          </w:p>
        </w:tc>
        <w:tc>
          <w:tcPr>
            <w:tcW w:type="dxa" w:w="1234"/>
          </w:tcPr>
          <w:p>
            <w:r>
              <w:rPr>
                <w:rFonts w:ascii="Calibri" w:hAnsi="Calibri"/>
                <w:sz w:val="22"/>
              </w:rPr>
              <w:t>18.8%</w:t>
            </w:r>
          </w:p>
        </w:tc>
        <w:tc>
          <w:tcPr>
            <w:tcW w:type="dxa" w:w="1234"/>
          </w:tcPr>
          <w:p>
            <w:r>
              <w:rPr>
                <w:rFonts w:ascii="Calibri" w:hAnsi="Calibri"/>
                <w:sz w:val="22"/>
              </w:rPr>
              <w:t>13.4%</w:t>
            </w:r>
          </w:p>
        </w:tc>
        <w:tc>
          <w:tcPr>
            <w:tcW w:type="dxa" w:w="1234"/>
          </w:tcPr>
          <w:p>
            <w:r>
              <w:rPr>
                <w:rFonts w:ascii="Calibri" w:hAnsi="Calibri"/>
                <w:sz w:val="22"/>
              </w:rPr>
              <w:t>-5.4 pts YoY</w:t>
            </w:r>
          </w:p>
        </w:tc>
        <w:tc>
          <w:tcPr>
            <w:tcW w:type="dxa" w:w="1234"/>
          </w:tcPr>
          <w:p>
            <w:r>
              <w:rPr>
                <w:rFonts w:ascii="Calibri" w:hAnsi="Calibri"/>
                <w:sz w:val="22"/>
              </w:rPr>
              <w:t>No explicit ROE guidance; trailing 12-month core ROE ~22.7% as of Q1 2026</w:t>
            </w:r>
          </w:p>
        </w:tc>
        <w:tc>
          <w:tcPr>
            <w:tcW w:type="dxa" w:w="1234"/>
          </w:tcPr>
          <w:p>
            <w:r>
              <w:rPr>
                <w:rFonts w:ascii="Calibri" w:hAnsi="Calibri"/>
                <w:sz w:val="22"/>
              </w:rPr>
              <w:t>N/A — no guidance</w:t>
            </w:r>
          </w:p>
        </w:tc>
      </w:tr>
    </w:tbl>
    <w:p>
      <w:r>
        <w:rPr>
          <w:rFonts w:ascii="Calibri" w:hAnsi="Calibri"/>
          <w:i/>
          <w:color w:val="525866"/>
          <w:sz w:val="22"/>
        </w:rPr>
        <w:t>Sources: Visible Alpha Consensus and Actuals Data. Q2 2026 consensus as of July 16, 2026. Q1 2026 actuals and Q2 2025 actuals from Visible Alpha. NII guidance from Q1 2026 earnings call (April 16, 2026). Note: NWP YoY decline reflects Canadian personal lines operations sale (closed January 2, 2026); organic growth trends remain positive.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Core EPS</w:t>
            </w:r>
          </w:p>
        </w:tc>
        <w:tc>
          <w:tcPr>
            <w:tcW w:type="dxa" w:w="1440"/>
          </w:tcPr>
          <w:p>
            <w:r>
              <w:rPr>
                <w:rFonts w:ascii="Calibri" w:hAnsi="Calibri"/>
                <w:sz w:val="22"/>
              </w:rPr>
              <w:t>$7.77</w:t>
            </w:r>
          </w:p>
        </w:tc>
        <w:tc>
          <w:tcPr>
            <w:tcW w:type="dxa" w:w="1440"/>
          </w:tcPr>
          <w:p>
            <w:r>
              <w:rPr>
                <w:rFonts w:ascii="Calibri" w:hAnsi="Calibri"/>
                <w:sz w:val="22"/>
              </w:rPr>
              <w:t>$7.05</w:t>
            </w:r>
          </w:p>
        </w:tc>
        <w:tc>
          <w:tcPr>
            <w:tcW w:type="dxa" w:w="1440"/>
          </w:tcPr>
          <w:p>
            <w:r>
              <w:rPr>
                <w:rFonts w:ascii="Calibri" w:hAnsi="Calibri"/>
                <w:b/>
                <w:color w:val="30A46C"/>
                <w:sz w:val="22"/>
              </w:rPr>
              <w:t>+10.2%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Underlying CR</w:t>
            </w:r>
          </w:p>
        </w:tc>
        <w:tc>
          <w:tcPr>
            <w:tcW w:type="dxa" w:w="1440"/>
          </w:tcPr>
          <w:p>
            <w:r>
              <w:rPr>
                <w:rFonts w:ascii="Calibri" w:hAnsi="Calibri"/>
                <w:sz w:val="22"/>
              </w:rPr>
              <w:t>85.3%</w:t>
            </w:r>
          </w:p>
        </w:tc>
        <w:tc>
          <w:tcPr>
            <w:tcW w:type="dxa" w:w="1440"/>
          </w:tcPr>
          <w:p>
            <w:r>
              <w:rPr>
                <w:rFonts w:ascii="Calibri" w:hAnsi="Calibri"/>
                <w:sz w:val="22"/>
              </w:rPr>
              <w:t>85.4%</w:t>
            </w:r>
          </w:p>
        </w:tc>
        <w:tc>
          <w:tcPr>
            <w:tcW w:type="dxa" w:w="1440"/>
          </w:tcPr>
          <w:p>
            <w:r>
              <w:rPr>
                <w:rFonts w:ascii="Calibri" w:hAnsi="Calibri"/>
                <w:b/>
                <w:color w:val="30A46C"/>
                <w:sz w:val="22"/>
              </w:rPr>
              <w:t>-0.1 pts</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Core EPS</w:t>
            </w:r>
          </w:p>
        </w:tc>
        <w:tc>
          <w:tcPr>
            <w:tcW w:type="dxa" w:w="1440"/>
          </w:tcPr>
          <w:p>
            <w:r>
              <w:rPr>
                <w:rFonts w:ascii="Calibri" w:hAnsi="Calibri"/>
                <w:sz w:val="22"/>
              </w:rPr>
              <w:t>$11.21</w:t>
            </w:r>
          </w:p>
        </w:tc>
        <w:tc>
          <w:tcPr>
            <w:tcW w:type="dxa" w:w="1440"/>
          </w:tcPr>
          <w:p>
            <w:r>
              <w:rPr>
                <w:rFonts w:ascii="Calibri" w:hAnsi="Calibri"/>
                <w:sz w:val="22"/>
              </w:rPr>
              <w:t>$8.82</w:t>
            </w:r>
          </w:p>
        </w:tc>
        <w:tc>
          <w:tcPr>
            <w:tcW w:type="dxa" w:w="1440"/>
          </w:tcPr>
          <w:p>
            <w:r>
              <w:rPr>
                <w:rFonts w:ascii="Calibri" w:hAnsi="Calibri"/>
                <w:b/>
                <w:color w:val="30A46C"/>
                <w:sz w:val="22"/>
              </w:rPr>
              <w:t>+27.1%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Underlying CR</w:t>
            </w:r>
          </w:p>
        </w:tc>
        <w:tc>
          <w:tcPr>
            <w:tcW w:type="dxa" w:w="1440"/>
          </w:tcPr>
          <w:p>
            <w:r>
              <w:rPr>
                <w:rFonts w:ascii="Calibri" w:hAnsi="Calibri"/>
                <w:sz w:val="22"/>
              </w:rPr>
              <w:t>82.2%</w:t>
            </w:r>
          </w:p>
        </w:tc>
        <w:tc>
          <w:tcPr>
            <w:tcW w:type="dxa" w:w="1440"/>
          </w:tcPr>
          <w:p>
            <w:r>
              <w:rPr>
                <w:rFonts w:ascii="Calibri" w:hAnsi="Calibri"/>
                <w:sz w:val="22"/>
              </w:rPr>
              <w:t>85.0%</w:t>
            </w:r>
          </w:p>
        </w:tc>
        <w:tc>
          <w:tcPr>
            <w:tcW w:type="dxa" w:w="1440"/>
          </w:tcPr>
          <w:p>
            <w:r>
              <w:rPr>
                <w:rFonts w:ascii="Calibri" w:hAnsi="Calibri"/>
                <w:b/>
                <w:color w:val="30A46C"/>
                <w:sz w:val="22"/>
              </w:rPr>
              <w:t>-2.8 pts</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Core EPS</w:t>
            </w:r>
          </w:p>
        </w:tc>
        <w:tc>
          <w:tcPr>
            <w:tcW w:type="dxa" w:w="1440"/>
          </w:tcPr>
          <w:p>
            <w:r>
              <w:rPr>
                <w:rFonts w:ascii="Calibri" w:hAnsi="Calibri"/>
                <w:sz w:val="22"/>
              </w:rPr>
              <w:t>$8.21</w:t>
            </w:r>
          </w:p>
        </w:tc>
        <w:tc>
          <w:tcPr>
            <w:tcW w:type="dxa" w:w="1440"/>
          </w:tcPr>
          <w:p>
            <w:r>
              <w:rPr>
                <w:rFonts w:ascii="Calibri" w:hAnsi="Calibri"/>
                <w:sz w:val="22"/>
              </w:rPr>
              <w:t>$6.40</w:t>
            </w:r>
          </w:p>
        </w:tc>
        <w:tc>
          <w:tcPr>
            <w:tcW w:type="dxa" w:w="1440"/>
          </w:tcPr>
          <w:p>
            <w:r>
              <w:rPr>
                <w:rFonts w:ascii="Calibri" w:hAnsi="Calibri"/>
                <w:b/>
                <w:color w:val="30A46C"/>
                <w:sz w:val="22"/>
              </w:rPr>
              <w:t>+28.3%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Underlying CR</w:t>
            </w:r>
          </w:p>
        </w:tc>
        <w:tc>
          <w:tcPr>
            <w:tcW w:type="dxa" w:w="1440"/>
          </w:tcPr>
          <w:p>
            <w:r>
              <w:rPr>
                <w:rFonts w:ascii="Calibri" w:hAnsi="Calibri"/>
                <w:sz w:val="22"/>
              </w:rPr>
              <w:t>83.9%</w:t>
            </w:r>
          </w:p>
        </w:tc>
        <w:tc>
          <w:tcPr>
            <w:tcW w:type="dxa" w:w="1440"/>
          </w:tcPr>
          <w:p>
            <w:r>
              <w:rPr>
                <w:rFonts w:ascii="Calibri" w:hAnsi="Calibri"/>
                <w:sz w:val="22"/>
              </w:rPr>
              <w:t>85.9%</w:t>
            </w:r>
          </w:p>
        </w:tc>
        <w:tc>
          <w:tcPr>
            <w:tcW w:type="dxa" w:w="1440"/>
          </w:tcPr>
          <w:p>
            <w:r>
              <w:rPr>
                <w:rFonts w:ascii="Calibri" w:hAnsi="Calibri"/>
                <w:b/>
                <w:color w:val="30A46C"/>
                <w:sz w:val="22"/>
              </w:rPr>
              <w:t>-2.0 pts</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Core EPS</w:t>
            </w:r>
          </w:p>
        </w:tc>
        <w:tc>
          <w:tcPr>
            <w:tcW w:type="dxa" w:w="1440"/>
          </w:tcPr>
          <w:p>
            <w:r>
              <w:rPr>
                <w:rFonts w:ascii="Calibri" w:hAnsi="Calibri"/>
                <w:sz w:val="22"/>
              </w:rPr>
              <w:t>$6.56</w:t>
            </w:r>
          </w:p>
        </w:tc>
        <w:tc>
          <w:tcPr>
            <w:tcW w:type="dxa" w:w="1440"/>
          </w:tcPr>
          <w:p>
            <w:r>
              <w:rPr>
                <w:rFonts w:ascii="Calibri" w:hAnsi="Calibri"/>
                <w:sz w:val="22"/>
              </w:rPr>
              <w:t>$3.67</w:t>
            </w:r>
          </w:p>
        </w:tc>
        <w:tc>
          <w:tcPr>
            <w:tcW w:type="dxa" w:w="1440"/>
          </w:tcPr>
          <w:p>
            <w:r>
              <w:rPr>
                <w:rFonts w:ascii="Calibri" w:hAnsi="Calibri"/>
                <w:b/>
                <w:color w:val="30A46C"/>
                <w:sz w:val="22"/>
              </w:rPr>
              <w:t>+78.9%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Underlying CR</w:t>
            </w:r>
          </w:p>
        </w:tc>
        <w:tc>
          <w:tcPr>
            <w:tcW w:type="dxa" w:w="1440"/>
          </w:tcPr>
          <w:p>
            <w:r>
              <w:rPr>
                <w:rFonts w:ascii="Calibri" w:hAnsi="Calibri"/>
                <w:sz w:val="22"/>
              </w:rPr>
              <w:t>84.7%</w:t>
            </w:r>
          </w:p>
        </w:tc>
        <w:tc>
          <w:tcPr>
            <w:tcW w:type="dxa" w:w="1440"/>
          </w:tcPr>
          <w:p>
            <w:r>
              <w:rPr>
                <w:rFonts w:ascii="Calibri" w:hAnsi="Calibri"/>
                <w:sz w:val="22"/>
              </w:rPr>
              <w:t>87.2%</w:t>
            </w:r>
          </w:p>
        </w:tc>
        <w:tc>
          <w:tcPr>
            <w:tcW w:type="dxa" w:w="1440"/>
          </w:tcPr>
          <w:p>
            <w:r>
              <w:rPr>
                <w:rFonts w:ascii="Calibri" w:hAnsi="Calibri"/>
                <w:b/>
                <w:color w:val="30A46C"/>
                <w:sz w:val="22"/>
              </w:rPr>
              <w:t>-2.5 pts</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Core EPS</w:t>
            </w:r>
          </w:p>
        </w:tc>
        <w:tc>
          <w:tcPr>
            <w:tcW w:type="dxa" w:w="1440"/>
          </w:tcPr>
          <w:p>
            <w:r>
              <w:rPr>
                <w:rFonts w:ascii="Calibri" w:hAnsi="Calibri"/>
                <w:sz w:val="22"/>
              </w:rPr>
              <w:t>$1.92</w:t>
            </w:r>
          </w:p>
        </w:tc>
        <w:tc>
          <w:tcPr>
            <w:tcW w:type="dxa" w:w="1440"/>
          </w:tcPr>
          <w:p>
            <w:r>
              <w:rPr>
                <w:rFonts w:ascii="Calibri" w:hAnsi="Calibri"/>
                <w:sz w:val="22"/>
              </w:rPr>
              <w:t>$0.83</w:t>
            </w:r>
          </w:p>
        </w:tc>
        <w:tc>
          <w:tcPr>
            <w:tcW w:type="dxa" w:w="1440"/>
          </w:tcPr>
          <w:p>
            <w:r>
              <w:rPr>
                <w:rFonts w:ascii="Calibri" w:hAnsi="Calibri"/>
                <w:b/>
                <w:color w:val="30A46C"/>
                <w:sz w:val="22"/>
              </w:rPr>
              <w:t>+131.3%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Underlying CR</w:t>
            </w:r>
          </w:p>
        </w:tc>
        <w:tc>
          <w:tcPr>
            <w:tcW w:type="dxa" w:w="1440"/>
          </w:tcPr>
          <w:p>
            <w:r>
              <w:rPr>
                <w:rFonts w:ascii="Calibri" w:hAnsi="Calibri"/>
                <w:sz w:val="22"/>
              </w:rPr>
              <w:t>84.8%</w:t>
            </w:r>
          </w:p>
        </w:tc>
        <w:tc>
          <w:tcPr>
            <w:tcW w:type="dxa" w:w="1440"/>
          </w:tcPr>
          <w:p>
            <w:r>
              <w:rPr>
                <w:rFonts w:ascii="Calibri" w:hAnsi="Calibri"/>
                <w:sz w:val="22"/>
              </w:rPr>
              <w:t>87.0%</w:t>
            </w:r>
          </w:p>
        </w:tc>
        <w:tc>
          <w:tcPr>
            <w:tcW w:type="dxa" w:w="1440"/>
          </w:tcPr>
          <w:p>
            <w:r>
              <w:rPr>
                <w:rFonts w:ascii="Calibri" w:hAnsi="Calibri"/>
                <w:b/>
                <w:color w:val="30A46C"/>
                <w:sz w:val="22"/>
              </w:rPr>
              <w:t>-2.2 pts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Core EPS</w:t>
            </w:r>
          </w:p>
        </w:tc>
        <w:tc>
          <w:tcPr>
            <w:tcW w:type="dxa" w:w="1440"/>
          </w:tcPr>
          <w:p>
            <w:r>
              <w:rPr>
                <w:rFonts w:ascii="Calibri" w:hAnsi="Calibri"/>
                <w:sz w:val="22"/>
              </w:rPr>
              <w:t>$9.22</w:t>
            </w:r>
          </w:p>
        </w:tc>
        <w:tc>
          <w:tcPr>
            <w:tcW w:type="dxa" w:w="1440"/>
          </w:tcPr>
          <w:p>
            <w:r>
              <w:rPr>
                <w:rFonts w:ascii="Calibri" w:hAnsi="Calibri"/>
                <w:sz w:val="22"/>
              </w:rPr>
              <w:t>$6.65</w:t>
            </w:r>
          </w:p>
        </w:tc>
        <w:tc>
          <w:tcPr>
            <w:tcW w:type="dxa" w:w="1440"/>
          </w:tcPr>
          <w:p>
            <w:r>
              <w:rPr>
                <w:rFonts w:ascii="Calibri" w:hAnsi="Calibri"/>
                <w:b/>
                <w:color w:val="30A46C"/>
                <w:sz w:val="22"/>
              </w:rPr>
              <w:t>+38.6%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Underlying CR</w:t>
            </w:r>
          </w:p>
        </w:tc>
        <w:tc>
          <w:tcPr>
            <w:tcW w:type="dxa" w:w="1440"/>
          </w:tcPr>
          <w:p>
            <w:r>
              <w:rPr>
                <w:rFonts w:ascii="Calibri" w:hAnsi="Calibri"/>
                <w:sz w:val="22"/>
              </w:rPr>
              <w:t>84.0%</w:t>
            </w:r>
          </w:p>
        </w:tc>
        <w:tc>
          <w:tcPr>
            <w:tcW w:type="dxa" w:w="1440"/>
          </w:tcPr>
          <w:p>
            <w:r>
              <w:rPr>
                <w:rFonts w:ascii="Calibri" w:hAnsi="Calibri"/>
                <w:sz w:val="22"/>
              </w:rPr>
              <w:t>87.1%</w:t>
            </w:r>
          </w:p>
        </w:tc>
        <w:tc>
          <w:tcPr>
            <w:tcW w:type="dxa" w:w="1440"/>
          </w:tcPr>
          <w:p>
            <w:r>
              <w:rPr>
                <w:rFonts w:ascii="Calibri" w:hAnsi="Calibri"/>
                <w:b/>
                <w:color w:val="30A46C"/>
                <w:sz w:val="22"/>
              </w:rPr>
              <w:t>-3.1 pts</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Core EPS</w:t>
            </w:r>
          </w:p>
        </w:tc>
        <w:tc>
          <w:tcPr>
            <w:tcW w:type="dxa" w:w="1440"/>
          </w:tcPr>
          <w:p>
            <w:r>
              <w:rPr>
                <w:rFonts w:ascii="Calibri" w:hAnsi="Calibri"/>
                <w:sz w:val="22"/>
              </w:rPr>
              <w:t>$5.28</w:t>
            </w:r>
          </w:p>
        </w:tc>
        <w:tc>
          <w:tcPr>
            <w:tcW w:type="dxa" w:w="1440"/>
          </w:tcPr>
          <w:p>
            <w:r>
              <w:rPr>
                <w:rFonts w:ascii="Calibri" w:hAnsi="Calibri"/>
                <w:sz w:val="22"/>
              </w:rPr>
              <w:t>$3.45</w:t>
            </w:r>
          </w:p>
        </w:tc>
        <w:tc>
          <w:tcPr>
            <w:tcW w:type="dxa" w:w="1440"/>
          </w:tcPr>
          <w:p>
            <w:r>
              <w:rPr>
                <w:rFonts w:ascii="Calibri" w:hAnsi="Calibri"/>
                <w:b/>
                <w:color w:val="30A46C"/>
                <w:sz w:val="22"/>
              </w:rPr>
              <w:t>+53.2%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Underlying CR</w:t>
            </w:r>
          </w:p>
        </w:tc>
        <w:tc>
          <w:tcPr>
            <w:tcW w:type="dxa" w:w="1440"/>
          </w:tcPr>
          <w:p>
            <w:r>
              <w:rPr>
                <w:rFonts w:ascii="Calibri" w:hAnsi="Calibri"/>
                <w:sz w:val="22"/>
              </w:rPr>
              <w:t>85.6%</w:t>
            </w:r>
          </w:p>
        </w:tc>
        <w:tc>
          <w:tcPr>
            <w:tcW w:type="dxa" w:w="1440"/>
          </w:tcPr>
          <w:p>
            <w:r>
              <w:rPr>
                <w:rFonts w:ascii="Calibri" w:hAnsi="Calibri"/>
                <w:sz w:val="22"/>
              </w:rPr>
              <w:t>89.9%</w:t>
            </w:r>
          </w:p>
        </w:tc>
        <w:tc>
          <w:tcPr>
            <w:tcW w:type="dxa" w:w="1440"/>
          </w:tcPr>
          <w:p>
            <w:r>
              <w:rPr>
                <w:rFonts w:ascii="Calibri" w:hAnsi="Calibri"/>
                <w:b/>
                <w:color w:val="30A46C"/>
                <w:sz w:val="22"/>
              </w:rPr>
              <w:t>-4.3 pts</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Core EPS</w:t>
            </w:r>
          </w:p>
        </w:tc>
        <w:tc>
          <w:tcPr>
            <w:tcW w:type="dxa" w:w="1440"/>
          </w:tcPr>
          <w:p>
            <w:r>
              <w:rPr>
                <w:rFonts w:ascii="Calibri" w:hAnsi="Calibri"/>
                <w:sz w:val="22"/>
              </w:rPr>
              <w:t>$2.53</w:t>
            </w:r>
          </w:p>
        </w:tc>
        <w:tc>
          <w:tcPr>
            <w:tcW w:type="dxa" w:w="1440"/>
          </w:tcPr>
          <w:p>
            <w:r>
              <w:rPr>
                <w:rFonts w:ascii="Calibri" w:hAnsi="Calibri"/>
                <w:sz w:val="22"/>
              </w:rPr>
              <w:t>$2.08</w:t>
            </w:r>
          </w:p>
        </w:tc>
        <w:tc>
          <w:tcPr>
            <w:tcW w:type="dxa" w:w="1440"/>
          </w:tcPr>
          <w:p>
            <w:r>
              <w:rPr>
                <w:rFonts w:ascii="Calibri" w:hAnsi="Calibri"/>
                <w:b/>
                <w:color w:val="30A46C"/>
                <w:sz w:val="22"/>
              </w:rPr>
              <w:t>+21.6%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Underlying CR</w:t>
            </w:r>
          </w:p>
        </w:tc>
        <w:tc>
          <w:tcPr>
            <w:tcW w:type="dxa" w:w="1440"/>
          </w:tcPr>
          <w:p>
            <w:r>
              <w:rPr>
                <w:rFonts w:ascii="Calibri" w:hAnsi="Calibri"/>
                <w:sz w:val="22"/>
              </w:rPr>
              <w:t>87.7%</w:t>
            </w:r>
          </w:p>
        </w:tc>
        <w:tc>
          <w:tcPr>
            <w:tcW w:type="dxa" w:w="1440"/>
          </w:tcPr>
          <w:p>
            <w:r>
              <w:rPr>
                <w:rFonts w:ascii="Calibri" w:hAnsi="Calibri"/>
                <w:sz w:val="22"/>
              </w:rPr>
              <w:t>89.6%</w:t>
            </w:r>
          </w:p>
        </w:tc>
        <w:tc>
          <w:tcPr>
            <w:tcW w:type="dxa" w:w="1440"/>
          </w:tcPr>
          <w:p>
            <w:r>
              <w:rPr>
                <w:rFonts w:ascii="Calibri" w:hAnsi="Calibri"/>
                <w:b/>
                <w:color w:val="30A46C"/>
                <w:sz w:val="22"/>
              </w:rPr>
              <w:t>-1.9 pts</w:t>
            </w:r>
          </w:p>
        </w:tc>
        <w:tc>
          <w:tcPr>
            <w:tcW w:type="dxa" w:w="1440"/>
          </w:tcPr>
          <w:p>
            <w:r>
              <w:rPr>
                <w:rFonts w:ascii="Calibri" w:hAnsi="Calibri"/>
                <w:b/>
                <w:color w:val="30A46C"/>
                <w:sz w:val="22"/>
              </w:rPr>
              <w:t>Beat</w:t>
            </w:r>
          </w:p>
        </w:tc>
      </w:tr>
    </w:tbl>
    <w:p>
      <w:r>
        <w:rPr>
          <w:rFonts w:ascii="Calibri" w:hAnsi="Calibri"/>
          <w:i/>
          <w:color w:val="525866"/>
          <w:sz w:val="22"/>
        </w:rPr>
        <w:t>TRV has beaten consensus on both Core EPS and the underlying combined ratio in each of the last 8 consecutive quarters, with EPS beats averaging well above 40% and the underlying CR consistently printing 1–4 points better than the Street — a pattern that reflects both conservative Street modeling and TRV's disciplined underwriting execution.</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on the Q1 2026 call was notably confident — the company characterized the multi-year Personal Insurance turnaround as "largely behind us" and guided to specific NII figures by quarter — but two explicit Q2 headwinds were flagged: </w:t>
      </w:r>
      <w:r>
        <w:rPr>
          <w:rFonts w:ascii="Calibri" w:hAnsi="Calibri"/>
          <w:b/>
          <w:color w:val="525866"/>
          <w:sz w:val="22"/>
        </w:rPr>
        <w:t>the one-quarter lag on Q1 financial market weakness hitting non-fixed income NII</w:t>
      </w:r>
      <w:r>
        <w:rPr>
          <w:rFonts w:ascii="Calibri" w:hAnsi="Calibri"/>
          <w:color w:val="525866"/>
          <w:sz w:val="22"/>
        </w:rPr>
        <w:t xml:space="preserve">, and Q2 being the </w:t>
      </w:r>
      <w:r>
        <w:rPr>
          <w:rFonts w:ascii="Calibri" w:hAnsi="Calibri"/>
          <w:b/>
          <w:color w:val="525866"/>
          <w:sz w:val="22"/>
        </w:rPr>
        <w:t>seasonally highest quarter for Homeowners weather-related losses</w:t>
      </w:r>
      <w:r>
        <w:rPr>
          <w:rFonts w:ascii="Calibri" w:hAnsi="Calibri"/>
          <w:color w:val="525866"/>
          <w:sz w:val="22"/>
        </w:rPr>
        <w: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Q1 2026 Earnings Call Guidance / Commentary (Baseline)</w:t>
            </w:r>
          </w:p>
        </w:tc>
        <w:tc>
          <w:tcPr>
            <w:tcW w:type="dxa" w:w="2160"/>
            <w:shd w:val="clear" w:color="auto" w:fill="3B4259"/>
          </w:tcPr>
          <w:p>
            <w:r>
              <w:rPr>
                <w:rFonts w:ascii="Calibri" w:hAnsi="Calibri"/>
                <w:b/>
                <w:color w:val="FFFFFF"/>
                <w:sz w:val="22"/>
              </w:rPr>
              <w:t>Current Status / Revision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Fixed Income NII (Q2 2026)</w:t>
            </w:r>
          </w:p>
        </w:tc>
        <w:tc>
          <w:tcPr>
            <w:tcW w:type="dxa" w:w="2160"/>
          </w:tcPr>
          <w:p>
            <w:r>
              <w:rPr>
                <w:rFonts w:ascii="Calibri" w:hAnsi="Calibri"/>
                <w:sz w:val="22"/>
              </w:rPr>
              <w:t>~$810M after-tax in Q2, growing to ~$840M in Q3 and ~$870M in Q4</w:t>
            </w:r>
          </w:p>
        </w:tc>
        <w:tc>
          <w:tcPr>
            <w:tcW w:type="dxa" w:w="2160"/>
          </w:tcPr>
          <w:p>
            <w:r>
              <w:rPr>
                <w:rFonts w:ascii="Calibri" w:hAnsi="Calibri"/>
                <w:sz w:val="22"/>
              </w:rPr>
              <w:t>Consensus at $829M — slightly above guidance; portfolio yield tailwind intact as new money rates exceed embedded yield</w:t>
            </w:r>
          </w:p>
        </w:tc>
        <w:tc>
          <w:tcPr>
            <w:tcW w:type="dxa" w:w="2160"/>
          </w:tcPr>
          <w:p>
            <w:r>
              <w:rPr>
                <w:rFonts w:ascii="Calibri" w:hAnsi="Calibri"/>
                <w:b/>
                <w:color w:val="30A46C"/>
                <w:sz w:val="22"/>
              </w:rPr>
              <w:t>Unchanged — on track</w:t>
            </w:r>
          </w:p>
        </w:tc>
      </w:tr>
      <w:tr>
        <w:tc>
          <w:tcPr>
            <w:tcW w:type="dxa" w:w="2160"/>
          </w:tcPr>
          <w:p>
            <w:r>
              <w:rPr>
                <w:rFonts w:ascii="Calibri" w:hAnsi="Calibri"/>
                <w:sz w:val="22"/>
              </w:rPr>
              <w:t>Non-Fixed Income NII (Q2 2026)</w:t>
            </w:r>
          </w:p>
        </w:tc>
        <w:tc>
          <w:tcPr>
            <w:tcW w:type="dxa" w:w="2160"/>
          </w:tcPr>
          <w:p>
            <w:r>
              <w:rPr>
                <w:rFonts w:ascii="Calibri" w:hAnsi="Calibri"/>
                <w:sz w:val="22"/>
              </w:rPr>
              <w:t>Q1 financial market decline will be reflected in Q2 results (one-quarter lag on PE, hedge funds, real estate partnerships)</w:t>
            </w:r>
          </w:p>
        </w:tc>
        <w:tc>
          <w:tcPr>
            <w:tcW w:type="dxa" w:w="2160"/>
          </w:tcPr>
          <w:p>
            <w:r>
              <w:rPr>
                <w:rFonts w:ascii="Calibri" w:hAnsi="Calibri"/>
                <w:sz w:val="22"/>
              </w:rPr>
              <w:t>Known headwind; markets partially recovered in Q2 but Q1 weakness still flows through; Street has modeled this in</w:t>
            </w:r>
          </w:p>
        </w:tc>
        <w:tc>
          <w:tcPr>
            <w:tcW w:type="dxa" w:w="2160"/>
          </w:tcPr>
          <w:p>
            <w:r>
              <w:rPr>
                <w:rFonts w:ascii="Calibri" w:hAnsi="Calibri"/>
                <w:b/>
                <w:color w:val="E5484D"/>
                <w:sz w:val="22"/>
              </w:rPr>
              <w:t>Headwind — known &amp; priced</w:t>
            </w:r>
          </w:p>
        </w:tc>
      </w:tr>
      <w:tr>
        <w:tc>
          <w:tcPr>
            <w:tcW w:type="dxa" w:w="2160"/>
          </w:tcPr>
          <w:p>
            <w:r>
              <w:rPr>
                <w:rFonts w:ascii="Calibri" w:hAnsi="Calibri"/>
                <w:sz w:val="22"/>
              </w:rPr>
              <w:t>Full-Year Expense Ratio</w:t>
            </w:r>
          </w:p>
        </w:tc>
        <w:tc>
          <w:tcPr>
            <w:tcW w:type="dxa" w:w="2160"/>
          </w:tcPr>
          <w:p>
            <w:r>
              <w:rPr>
                <w:rFonts w:ascii="Calibri" w:hAnsi="Calibri"/>
                <w:sz w:val="22"/>
              </w:rPr>
              <w:t>~28.5% for full year 2026; Q1 came in at 29% as expected due to timing</w:t>
            </w:r>
          </w:p>
        </w:tc>
        <w:tc>
          <w:tcPr>
            <w:tcW w:type="dxa" w:w="2160"/>
          </w:tcPr>
          <w:p>
            <w:r>
              <w:rPr>
                <w:rFonts w:ascii="Calibri" w:hAnsi="Calibri"/>
                <w:sz w:val="22"/>
              </w:rPr>
              <w:t>No change; Q2 expense ratio expected to normalize toward 28.5% run-rate</w:t>
            </w:r>
          </w:p>
        </w:tc>
        <w:tc>
          <w:tcPr>
            <w:tcW w:type="dxa" w:w="2160"/>
          </w:tcPr>
          <w:p>
            <w:r>
              <w:rPr>
                <w:rFonts w:ascii="Calibri" w:hAnsi="Calibri"/>
                <w:b/>
                <w:color w:val="30A46C"/>
                <w:sz w:val="22"/>
              </w:rPr>
              <w:t>Unchanged</w:t>
            </w:r>
          </w:p>
        </w:tc>
      </w:tr>
      <w:tr>
        <w:tc>
          <w:tcPr>
            <w:tcW w:type="dxa" w:w="2160"/>
          </w:tcPr>
          <w:p>
            <w:r>
              <w:rPr>
                <w:rFonts w:ascii="Calibri" w:hAnsi="Calibri"/>
                <w:sz w:val="22"/>
              </w:rPr>
              <w:t>Personal Insurance Strategy</w:t>
            </w:r>
          </w:p>
        </w:tc>
        <w:tc>
          <w:tcPr>
            <w:tcW w:type="dxa" w:w="2160"/>
          </w:tcPr>
          <w:p>
            <w:r>
              <w:rPr>
                <w:rFonts w:ascii="Calibri" w:hAnsi="Calibri"/>
                <w:sz w:val="22"/>
              </w:rPr>
              <w:t>Multi-year turnaround "largely behind us"; actively expanding eligibility, lifting agent binding limits, increasing agency appointments; early new business momentum in both Auto and Homeowners</w:t>
            </w:r>
          </w:p>
        </w:tc>
        <w:tc>
          <w:tcPr>
            <w:tcW w:type="dxa" w:w="2160"/>
          </w:tcPr>
          <w:p>
            <w:r>
              <w:rPr>
                <w:rFonts w:ascii="Calibri" w:hAnsi="Calibri"/>
                <w:sz w:val="22"/>
              </w:rPr>
              <w:t>Growth mode continues; Homeowners RPC expected to moderate further toward mid-single digits as rate adequacy is achieved broadly</w:t>
            </w:r>
          </w:p>
        </w:tc>
        <w:tc>
          <w:tcPr>
            <w:tcW w:type="dxa" w:w="2160"/>
          </w:tcPr>
          <w:p>
            <w:r>
              <w:rPr>
                <w:rFonts w:ascii="Calibri" w:hAnsi="Calibri"/>
                <w:b/>
                <w:color w:val="30A46C"/>
                <w:sz w:val="22"/>
              </w:rPr>
              <w:t>Positive — growth inflection</w:t>
            </w:r>
          </w:p>
        </w:tc>
      </w:tr>
      <w:tr>
        <w:tc>
          <w:tcPr>
            <w:tcW w:type="dxa" w:w="2160"/>
          </w:tcPr>
          <w:p>
            <w:r>
              <w:rPr>
                <w:rFonts w:ascii="Calibri" w:hAnsi="Calibri"/>
                <w:sz w:val="22"/>
              </w:rPr>
              <w:t>Business Insurance Pricing (RPC)</w:t>
            </w:r>
          </w:p>
        </w:tc>
        <w:tc>
          <w:tcPr>
            <w:tcW w:type="dxa" w:w="2160"/>
          </w:tcPr>
          <w:p>
            <w:r>
              <w:rPr>
                <w:rFonts w:ascii="Calibri" w:hAnsi="Calibri"/>
                <w:sz w:val="22"/>
              </w:rPr>
              <w:t>Q1 RPC of 5.8% overall; ex-property nearly 8%; auto, CMP, Umbrella in double digits; GL/WC stable; property positive</w:t>
            </w:r>
          </w:p>
        </w:tc>
        <w:tc>
          <w:tcPr>
            <w:tcW w:type="dxa" w:w="2160"/>
          </w:tcPr>
          <w:p>
            <w:r>
              <w:rPr>
                <w:rFonts w:ascii="Calibri" w:hAnsi="Calibri"/>
                <w:sz w:val="22"/>
              </w:rPr>
              <w:t>Peer commentary (WRB, CB, CINF) signals softening commercial property market; casualty lines still achieving rate above trend; TRV's diversified book provides cushion</w:t>
            </w:r>
          </w:p>
        </w:tc>
        <w:tc>
          <w:tcPr>
            <w:tcW w:type="dxa" w:w="2160"/>
          </w:tcPr>
          <w:p>
            <w:r>
              <w:rPr>
                <w:rFonts w:ascii="Calibri" w:hAnsi="Calibri"/>
                <w:b/>
                <w:color w:val="E5484D"/>
                <w:sz w:val="22"/>
              </w:rPr>
              <w:t>Modest softening risk</w:t>
            </w:r>
          </w:p>
        </w:tc>
      </w:tr>
      <w:tr>
        <w:tc>
          <w:tcPr>
            <w:tcW w:type="dxa" w:w="2160"/>
          </w:tcPr>
          <w:p>
            <w:r>
              <w:rPr>
                <w:rFonts w:ascii="Calibri" w:hAnsi="Calibri"/>
                <w:sz w:val="22"/>
              </w:rPr>
              <w:t>Catastrophe Losses</w:t>
            </w:r>
          </w:p>
        </w:tc>
        <w:tc>
          <w:tcPr>
            <w:tcW w:type="dxa" w:w="2160"/>
          </w:tcPr>
          <w:p>
            <w:r>
              <w:rPr>
                <w:rFonts w:ascii="Calibri" w:hAnsi="Calibri"/>
                <w:sz w:val="22"/>
              </w:rPr>
              <w:t>Q2 historically highest CAT quarter for Homeowners weather-related losses; no specific CAT guidance provided</w:t>
            </w:r>
          </w:p>
        </w:tc>
        <w:tc>
          <w:tcPr>
            <w:tcW w:type="dxa" w:w="2160"/>
          </w:tcPr>
          <w:p>
            <w:r>
              <w:rPr>
                <w:rFonts w:ascii="Calibri" w:hAnsi="Calibri"/>
                <w:sz w:val="22"/>
              </w:rPr>
              <w:t>Active Q2 storm season; consensus all-in CR of 95.3% implies significant CAT load (~9.7 pts); actual outcome is the key swing factor</w:t>
            </w:r>
          </w:p>
        </w:tc>
        <w:tc>
          <w:tcPr>
            <w:tcW w:type="dxa" w:w="2160"/>
          </w:tcPr>
          <w:p>
            <w:r>
              <w:rPr>
                <w:rFonts w:ascii="Calibri" w:hAnsi="Calibri"/>
                <w:b/>
                <w:color w:val="E5484D"/>
                <w:sz w:val="22"/>
              </w:rPr>
              <w:t>Key risk — unresolved</w:t>
            </w:r>
          </w:p>
        </w:tc>
      </w:tr>
      <w:tr>
        <w:tc>
          <w:tcPr>
            <w:tcW w:type="dxa" w:w="2160"/>
          </w:tcPr>
          <w:p>
            <w:r>
              <w:rPr>
                <w:rFonts w:ascii="Calibri" w:hAnsi="Calibri"/>
                <w:sz w:val="22"/>
              </w:rPr>
              <w:t>Casualty Reserving</w:t>
            </w:r>
          </w:p>
        </w:tc>
        <w:tc>
          <w:tcPr>
            <w:tcW w:type="dxa" w:w="2160"/>
          </w:tcPr>
          <w:p>
            <w:r>
              <w:rPr>
                <w:rFonts w:ascii="Calibri" w:hAnsi="Calibri"/>
                <w:sz w:val="22"/>
              </w:rPr>
              <w:t>Uncertainty provision again carried into 2026 loss picks; casualty payout patterns not normalized; attorney representation rates and severity increases have not abated</w:t>
            </w:r>
          </w:p>
        </w:tc>
        <w:tc>
          <w:tcPr>
            <w:tcW w:type="dxa" w:w="2160"/>
          </w:tcPr>
          <w:p>
            <w:r>
              <w:rPr>
                <w:rFonts w:ascii="Calibri" w:hAnsi="Calibri"/>
                <w:sz w:val="22"/>
              </w:rPr>
              <w:t>Conservative posture maintained; no change in philosophy; tort reform momentum (GA, TX, LA, SC, FL) a potential medium-term positive</w:t>
            </w:r>
          </w:p>
        </w:tc>
        <w:tc>
          <w:tcPr>
            <w:tcW w:type="dxa" w:w="2160"/>
          </w:tcPr>
          <w:p>
            <w:r>
              <w:rPr>
                <w:rFonts w:ascii="Calibri" w:hAnsi="Calibri"/>
                <w:b/>
                <w:color w:val="30A46C"/>
                <w:sz w:val="22"/>
              </w:rPr>
              <w:t>Unchanged — conservative</w:t>
            </w:r>
          </w:p>
        </w:tc>
      </w:tr>
      <w:tr>
        <w:tc>
          <w:tcPr>
            <w:tcW w:type="dxa" w:w="2160"/>
          </w:tcPr>
          <w:p>
            <w:r>
              <w:rPr>
                <w:rFonts w:ascii="Calibri" w:hAnsi="Calibri"/>
                <w:sz w:val="22"/>
              </w:rPr>
              <w:t>Capital Return</w:t>
            </w:r>
          </w:p>
        </w:tc>
        <w:tc>
          <w:tcPr>
            <w:tcW w:type="dxa" w:w="2160"/>
          </w:tcPr>
          <w:p>
            <w:r>
              <w:rPr>
                <w:rFonts w:ascii="Calibri" w:hAnsi="Calibri"/>
                <w:sz w:val="22"/>
              </w:rPr>
              <w:t>Over $2B in buybacks in Q1 2026 (including Canadian ops sale proceeds); 14% dividend increase to $1.25/share; 22 consecutive years of increases</w:t>
            </w:r>
          </w:p>
        </w:tc>
        <w:tc>
          <w:tcPr>
            <w:tcW w:type="dxa" w:w="2160"/>
          </w:tcPr>
          <w:p>
            <w:r>
              <w:rPr>
                <w:rFonts w:ascii="Calibri" w:hAnsi="Calibri"/>
                <w:sz w:val="22"/>
              </w:rPr>
              <w:t>Excess capital position remains strong; ongoing buyback program expected to continue at elevated pace</w:t>
            </w:r>
          </w:p>
        </w:tc>
        <w:tc>
          <w:tcPr>
            <w:tcW w:type="dxa" w:w="2160"/>
          </w:tcPr>
          <w:p>
            <w:r>
              <w:rPr>
                <w:rFonts w:ascii="Calibri" w:hAnsi="Calibri"/>
                <w:b/>
                <w:color w:val="30A46C"/>
                <w:sz w:val="22"/>
              </w:rPr>
              <w:t>Positive — ongoing</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 revisions since the Q1 2026 print have been </w:t>
      </w:r>
      <w:r>
        <w:rPr>
          <w:rFonts w:ascii="Calibri" w:hAnsi="Calibri"/>
          <w:b/>
          <w:color w:val="525866"/>
          <w:sz w:val="22"/>
        </w:rPr>
        <w:t>modestly positive</w:t>
      </w:r>
      <w:r>
        <w:rPr>
          <w:rFonts w:ascii="Calibri" w:hAnsi="Calibri"/>
          <w:color w:val="525866"/>
          <w:sz w:val="22"/>
        </w:rPr>
        <w:t xml:space="preserve"> — Core EPS for Q2 2026 has been revised up from $4.85 to $5.38 (+10.9%) and the underlying combined ratio estimate has tightened slightly — suggesting the Street has absorbed the known Q2 headwinds and is not pricing in a negative surprise.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Consensus at Q1 Earnings (Apr 23, 2026)</w:t>
            </w:r>
          </w:p>
        </w:tc>
        <w:tc>
          <w:tcPr>
            <w:tcW w:type="dxa" w:w="1440"/>
            <w:shd w:val="clear" w:color="auto" w:fill="3B4259"/>
          </w:tcPr>
          <w:p>
            <w:r>
              <w:rPr>
                <w:rFonts w:ascii="Calibri" w:hAnsi="Calibri"/>
                <w:b/>
                <w:color w:val="FFFFFF"/>
                <w:sz w:val="22"/>
              </w:rPr>
              <w:t>Current Consensus (Jul 16, 2026)</w:t>
            </w:r>
          </w:p>
        </w:tc>
        <w:tc>
          <w:tcPr>
            <w:tcW w:type="dxa" w:w="1440"/>
            <w:shd w:val="clear" w:color="auto" w:fill="3B4259"/>
          </w:tcPr>
          <w:p>
            <w:r>
              <w:rPr>
                <w:rFonts w:ascii="Calibri" w:hAnsi="Calibri"/>
                <w:b/>
                <w:color w:val="FFFFFF"/>
                <w:sz w:val="22"/>
              </w:rPr>
              <w:t>Change</w:t>
            </w:r>
          </w:p>
        </w:tc>
        <w:tc>
          <w:tcPr>
            <w:tcW w:type="dxa" w:w="1440"/>
            <w:shd w:val="clear" w:color="auto" w:fill="3B4259"/>
          </w:tcPr>
          <w:p>
            <w:r>
              <w:rPr>
                <w:rFonts w:ascii="Calibri" w:hAnsi="Calibri"/>
                <w:b/>
                <w:color w:val="FFFFFF"/>
                <w:sz w:val="22"/>
              </w:rPr>
              <w:t>Direction</w:t>
            </w:r>
          </w:p>
        </w:tc>
      </w:tr>
      <w:tr>
        <w:tc>
          <w:tcPr>
            <w:tcW w:type="dxa" w:w="1440"/>
          </w:tcPr>
          <w:p>
            <w:r>
              <w:rPr>
                <w:rFonts w:ascii="Calibri" w:hAnsi="Calibri"/>
                <w:sz w:val="22"/>
              </w:rPr>
              <w:t>Core EPS (Diluted Operating)</w:t>
            </w:r>
          </w:p>
        </w:tc>
        <w:tc>
          <w:tcPr>
            <w:tcW w:type="dxa" w:w="1440"/>
          </w:tcPr>
          <w:p>
            <w:r>
              <w:rPr>
                <w:rFonts w:ascii="Calibri" w:hAnsi="Calibri"/>
                <w:sz w:val="22"/>
              </w:rPr>
              <w:t>Q2 2026</w:t>
            </w:r>
          </w:p>
        </w:tc>
        <w:tc>
          <w:tcPr>
            <w:tcW w:type="dxa" w:w="1440"/>
          </w:tcPr>
          <w:p>
            <w:r>
              <w:rPr>
                <w:rFonts w:ascii="Calibri" w:hAnsi="Calibri"/>
                <w:sz w:val="22"/>
              </w:rPr>
              <w:t>$4.85</w:t>
            </w:r>
          </w:p>
        </w:tc>
        <w:tc>
          <w:tcPr>
            <w:tcW w:type="dxa" w:w="1440"/>
          </w:tcPr>
          <w:p>
            <w:r>
              <w:rPr>
                <w:rFonts w:ascii="Calibri" w:hAnsi="Calibri"/>
                <w:sz w:val="22"/>
              </w:rPr>
              <w:t>$5.38</w:t>
            </w:r>
          </w:p>
        </w:tc>
        <w:tc>
          <w:tcPr>
            <w:tcW w:type="dxa" w:w="1440"/>
          </w:tcPr>
          <w:p>
            <w:r>
              <w:rPr>
                <w:rFonts w:ascii="Calibri" w:hAnsi="Calibri"/>
                <w:b/>
                <w:color w:val="30A46C"/>
                <w:sz w:val="22"/>
              </w:rPr>
              <w:t>+$0.53 (+10.9%)</w:t>
            </w:r>
          </w:p>
        </w:tc>
        <w:tc>
          <w:tcPr>
            <w:tcW w:type="dxa" w:w="1440"/>
          </w:tcPr>
          <w:p>
            <w:r>
              <w:rPr>
                <w:rFonts w:ascii="Calibri" w:hAnsi="Calibri"/>
                <w:b/>
                <w:color w:val="30A46C"/>
                <w:sz w:val="22"/>
              </w:rPr>
              <w:t>↑ Revised Up</w:t>
            </w:r>
          </w:p>
        </w:tc>
      </w:tr>
      <w:tr>
        <w:tc>
          <w:tcPr>
            <w:tcW w:type="dxa" w:w="1440"/>
          </w:tcPr>
          <w:p>
            <w:r>
              <w:rPr>
                <w:rFonts w:ascii="Calibri" w:hAnsi="Calibri"/>
                <w:sz w:val="22"/>
              </w:rPr>
              <w:t>Core EPS (Diluted Operating)</w:t>
            </w:r>
          </w:p>
        </w:tc>
        <w:tc>
          <w:tcPr>
            <w:tcW w:type="dxa" w:w="1440"/>
          </w:tcPr>
          <w:p>
            <w:r>
              <w:rPr>
                <w:rFonts w:ascii="Calibri" w:hAnsi="Calibri"/>
                <w:sz w:val="22"/>
              </w:rPr>
              <w:t>Q3 2026</w:t>
            </w:r>
          </w:p>
        </w:tc>
        <w:tc>
          <w:tcPr>
            <w:tcW w:type="dxa" w:w="1440"/>
          </w:tcPr>
          <w:p>
            <w:r>
              <w:rPr>
                <w:rFonts w:ascii="Calibri" w:hAnsi="Calibri"/>
                <w:sz w:val="22"/>
              </w:rPr>
              <w:t>$6.40</w:t>
            </w:r>
          </w:p>
        </w:tc>
        <w:tc>
          <w:tcPr>
            <w:tcW w:type="dxa" w:w="1440"/>
          </w:tcPr>
          <w:p>
            <w:r>
              <w:rPr>
                <w:rFonts w:ascii="Calibri" w:hAnsi="Calibri"/>
                <w:sz w:val="22"/>
              </w:rPr>
              <w:t>$6.40</w:t>
            </w:r>
          </w:p>
        </w:tc>
        <w:tc>
          <w:tcPr>
            <w:tcW w:type="dxa" w:w="1440"/>
          </w:tcPr>
          <w:p>
            <w:r>
              <w:rPr>
                <w:rFonts w:ascii="Calibri" w:hAnsi="Calibri"/>
                <w:sz w:val="22"/>
              </w:rPr>
              <w:t>Flat</w:t>
            </w:r>
          </w:p>
        </w:tc>
        <w:tc>
          <w:tcPr>
            <w:tcW w:type="dxa" w:w="1440"/>
          </w:tcPr>
          <w:p>
            <w:r>
              <w:rPr>
                <w:rFonts w:ascii="Calibri" w:hAnsi="Calibri"/>
                <w:sz w:val="22"/>
              </w:rPr>
              <w:t>→ Unchanged</w:t>
            </w:r>
          </w:p>
        </w:tc>
      </w:tr>
      <w:tr>
        <w:tc>
          <w:tcPr>
            <w:tcW w:type="dxa" w:w="1440"/>
          </w:tcPr>
          <w:p>
            <w:r>
              <w:rPr>
                <w:rFonts w:ascii="Calibri" w:hAnsi="Calibri"/>
                <w:sz w:val="22"/>
              </w:rPr>
              <w:t>Core EPS (Diluted Operating)</w:t>
            </w:r>
          </w:p>
        </w:tc>
        <w:tc>
          <w:tcPr>
            <w:tcW w:type="dxa" w:w="1440"/>
          </w:tcPr>
          <w:p>
            <w:r>
              <w:rPr>
                <w:rFonts w:ascii="Calibri" w:hAnsi="Calibri"/>
                <w:sz w:val="22"/>
              </w:rPr>
              <w:t>Q4 2026</w:t>
            </w:r>
          </w:p>
        </w:tc>
        <w:tc>
          <w:tcPr>
            <w:tcW w:type="dxa" w:w="1440"/>
          </w:tcPr>
          <w:p>
            <w:r>
              <w:rPr>
                <w:rFonts w:ascii="Calibri" w:hAnsi="Calibri"/>
                <w:sz w:val="22"/>
              </w:rPr>
              <w:t>$9.19</w:t>
            </w:r>
          </w:p>
        </w:tc>
        <w:tc>
          <w:tcPr>
            <w:tcW w:type="dxa" w:w="1440"/>
          </w:tcPr>
          <w:p>
            <w:r>
              <w:rPr>
                <w:rFonts w:ascii="Calibri" w:hAnsi="Calibri"/>
                <w:sz w:val="22"/>
              </w:rPr>
              <w:t>$9.23</w:t>
            </w:r>
          </w:p>
        </w:tc>
        <w:tc>
          <w:tcPr>
            <w:tcW w:type="dxa" w:w="1440"/>
          </w:tcPr>
          <w:p>
            <w:r>
              <w:rPr>
                <w:rFonts w:ascii="Calibri" w:hAnsi="Calibri"/>
                <w:b/>
                <w:color w:val="30A46C"/>
                <w:sz w:val="22"/>
              </w:rPr>
              <w:t>+$0.04 (+0.4%)</w:t>
            </w:r>
          </w:p>
        </w:tc>
        <w:tc>
          <w:tcPr>
            <w:tcW w:type="dxa" w:w="1440"/>
          </w:tcPr>
          <w:p>
            <w:r>
              <w:rPr>
                <w:rFonts w:ascii="Calibri" w:hAnsi="Calibri"/>
                <w:b/>
                <w:color w:val="30A46C"/>
                <w:sz w:val="22"/>
              </w:rPr>
              <w:t>↑ Slightly Up</w:t>
            </w:r>
          </w:p>
        </w:tc>
      </w:tr>
      <w:tr>
        <w:tc>
          <w:tcPr>
            <w:tcW w:type="dxa" w:w="1440"/>
          </w:tcPr>
          <w:p>
            <w:r>
              <w:rPr>
                <w:rFonts w:ascii="Calibri" w:hAnsi="Calibri"/>
                <w:sz w:val="22"/>
              </w:rPr>
              <w:t>Net Written Premiums</w:t>
            </w:r>
          </w:p>
        </w:tc>
        <w:tc>
          <w:tcPr>
            <w:tcW w:type="dxa" w:w="1440"/>
          </w:tcPr>
          <w:p>
            <w:r>
              <w:rPr>
                <w:rFonts w:ascii="Calibri" w:hAnsi="Calibri"/>
                <w:sz w:val="22"/>
              </w:rPr>
              <w:t>Q2 2026</w:t>
            </w:r>
          </w:p>
        </w:tc>
        <w:tc>
          <w:tcPr>
            <w:tcW w:type="dxa" w:w="1440"/>
          </w:tcPr>
          <w:p>
            <w:r>
              <w:rPr>
                <w:rFonts w:ascii="Calibri" w:hAnsi="Calibri"/>
                <w:sz w:val="22"/>
              </w:rPr>
              <w:t>$11.38B</w:t>
            </w:r>
          </w:p>
        </w:tc>
        <w:tc>
          <w:tcPr>
            <w:tcW w:type="dxa" w:w="1440"/>
          </w:tcPr>
          <w:p>
            <w:r>
              <w:rPr>
                <w:rFonts w:ascii="Calibri" w:hAnsi="Calibri"/>
                <w:sz w:val="22"/>
              </w:rPr>
              <w:t>$11.39B</w:t>
            </w:r>
          </w:p>
        </w:tc>
        <w:tc>
          <w:tcPr>
            <w:tcW w:type="dxa" w:w="1440"/>
          </w:tcPr>
          <w:p>
            <w:r>
              <w:rPr>
                <w:rFonts w:ascii="Calibri" w:hAnsi="Calibri"/>
                <w:sz w:val="22"/>
              </w:rPr>
              <w:t>+$0.01B (+0.1%)</w:t>
            </w:r>
          </w:p>
        </w:tc>
        <w:tc>
          <w:tcPr>
            <w:tcW w:type="dxa" w:w="1440"/>
          </w:tcPr>
          <w:p>
            <w:r>
              <w:rPr>
                <w:rFonts w:ascii="Calibri" w:hAnsi="Calibri"/>
                <w:sz w:val="22"/>
              </w:rPr>
              <w:t>→ Essentially Flat</w:t>
            </w:r>
          </w:p>
        </w:tc>
      </w:tr>
      <w:tr>
        <w:tc>
          <w:tcPr>
            <w:tcW w:type="dxa" w:w="1440"/>
          </w:tcPr>
          <w:p>
            <w:r>
              <w:rPr>
                <w:rFonts w:ascii="Calibri" w:hAnsi="Calibri"/>
                <w:sz w:val="22"/>
              </w:rPr>
              <w:t>Net Written Premiums</w:t>
            </w:r>
          </w:p>
        </w:tc>
        <w:tc>
          <w:tcPr>
            <w:tcW w:type="dxa" w:w="1440"/>
          </w:tcPr>
          <w:p>
            <w:r>
              <w:rPr>
                <w:rFonts w:ascii="Calibri" w:hAnsi="Calibri"/>
                <w:sz w:val="22"/>
              </w:rPr>
              <w:t>Q3 2026</w:t>
            </w:r>
          </w:p>
        </w:tc>
        <w:tc>
          <w:tcPr>
            <w:tcW w:type="dxa" w:w="1440"/>
          </w:tcPr>
          <w:p>
            <w:r>
              <w:rPr>
                <w:rFonts w:ascii="Calibri" w:hAnsi="Calibri"/>
                <w:sz w:val="22"/>
              </w:rPr>
              <w:t>$11.40B</w:t>
            </w:r>
          </w:p>
        </w:tc>
        <w:tc>
          <w:tcPr>
            <w:tcW w:type="dxa" w:w="1440"/>
          </w:tcPr>
          <w:p>
            <w:r>
              <w:rPr>
                <w:rFonts w:ascii="Calibri" w:hAnsi="Calibri"/>
                <w:sz w:val="22"/>
              </w:rPr>
              <w:t>$11.39B</w:t>
            </w:r>
          </w:p>
        </w:tc>
        <w:tc>
          <w:tcPr>
            <w:tcW w:type="dxa" w:w="1440"/>
          </w:tcPr>
          <w:p>
            <w:r>
              <w:rPr>
                <w:rFonts w:ascii="Calibri" w:hAnsi="Calibri"/>
                <w:sz w:val="22"/>
              </w:rPr>
              <w:t>-$0.01B (-0.1%)</w:t>
            </w:r>
          </w:p>
        </w:tc>
        <w:tc>
          <w:tcPr>
            <w:tcW w:type="dxa" w:w="1440"/>
          </w:tcPr>
          <w:p>
            <w:r>
              <w:rPr>
                <w:rFonts w:ascii="Calibri" w:hAnsi="Calibri"/>
                <w:sz w:val="22"/>
              </w:rPr>
              <w:t>→ Essentially Flat</w:t>
            </w:r>
          </w:p>
        </w:tc>
      </w:tr>
      <w:tr>
        <w:tc>
          <w:tcPr>
            <w:tcW w:type="dxa" w:w="1440"/>
          </w:tcPr>
          <w:p>
            <w:r>
              <w:rPr>
                <w:rFonts w:ascii="Calibri" w:hAnsi="Calibri"/>
                <w:sz w:val="22"/>
              </w:rPr>
              <w:t>Underlying Combined Ratio</w:t>
            </w:r>
          </w:p>
        </w:tc>
        <w:tc>
          <w:tcPr>
            <w:tcW w:type="dxa" w:w="1440"/>
          </w:tcPr>
          <w:p>
            <w:r>
              <w:rPr>
                <w:rFonts w:ascii="Calibri" w:hAnsi="Calibri"/>
                <w:sz w:val="22"/>
              </w:rPr>
              <w:t>Q2 2026</w:t>
            </w:r>
          </w:p>
        </w:tc>
        <w:tc>
          <w:tcPr>
            <w:tcW w:type="dxa" w:w="1440"/>
          </w:tcPr>
          <w:p>
            <w:r>
              <w:rPr>
                <w:rFonts w:ascii="Calibri" w:hAnsi="Calibri"/>
                <w:sz w:val="22"/>
              </w:rPr>
              <w:t>85.7%</w:t>
            </w:r>
          </w:p>
        </w:tc>
        <w:tc>
          <w:tcPr>
            <w:tcW w:type="dxa" w:w="1440"/>
          </w:tcPr>
          <w:p>
            <w:r>
              <w:rPr>
                <w:rFonts w:ascii="Calibri" w:hAnsi="Calibri"/>
                <w:sz w:val="22"/>
              </w:rPr>
              <w:t>85.6%</w:t>
            </w:r>
          </w:p>
        </w:tc>
        <w:tc>
          <w:tcPr>
            <w:tcW w:type="dxa" w:w="1440"/>
          </w:tcPr>
          <w:p>
            <w:r>
              <w:rPr>
                <w:rFonts w:ascii="Calibri" w:hAnsi="Calibri"/>
                <w:b/>
                <w:color w:val="30A46C"/>
                <w:sz w:val="22"/>
              </w:rPr>
              <w:t>-0.2 pts</w:t>
            </w:r>
          </w:p>
        </w:tc>
        <w:tc>
          <w:tcPr>
            <w:tcW w:type="dxa" w:w="1440"/>
          </w:tcPr>
          <w:p>
            <w:r>
              <w:rPr>
                <w:rFonts w:ascii="Calibri" w:hAnsi="Calibri"/>
                <w:b/>
                <w:color w:val="30A46C"/>
                <w:sz w:val="22"/>
              </w:rPr>
              <w:t>↑ Slightly Better</w:t>
            </w:r>
          </w:p>
        </w:tc>
      </w:tr>
      <w:tr>
        <w:tc>
          <w:tcPr>
            <w:tcW w:type="dxa" w:w="1440"/>
          </w:tcPr>
          <w:p>
            <w:r>
              <w:rPr>
                <w:rFonts w:ascii="Calibri" w:hAnsi="Calibri"/>
                <w:sz w:val="22"/>
              </w:rPr>
              <w:t>Underlying Combined Ratio</w:t>
            </w:r>
          </w:p>
        </w:tc>
        <w:tc>
          <w:tcPr>
            <w:tcW w:type="dxa" w:w="1440"/>
          </w:tcPr>
          <w:p>
            <w:r>
              <w:rPr>
                <w:rFonts w:ascii="Calibri" w:hAnsi="Calibri"/>
                <w:sz w:val="22"/>
              </w:rPr>
              <w:t>Q3 2026</w:t>
            </w:r>
          </w:p>
        </w:tc>
        <w:tc>
          <w:tcPr>
            <w:tcW w:type="dxa" w:w="1440"/>
          </w:tcPr>
          <w:p>
            <w:r>
              <w:rPr>
                <w:rFonts w:ascii="Calibri" w:hAnsi="Calibri"/>
                <w:sz w:val="22"/>
              </w:rPr>
              <w:t>85.4%</w:t>
            </w:r>
          </w:p>
        </w:tc>
        <w:tc>
          <w:tcPr>
            <w:tcW w:type="dxa" w:w="1440"/>
          </w:tcPr>
          <w:p>
            <w:r>
              <w:rPr>
                <w:rFonts w:ascii="Calibri" w:hAnsi="Calibri"/>
                <w:sz w:val="22"/>
              </w:rPr>
              <w:t>85.3%</w:t>
            </w:r>
          </w:p>
        </w:tc>
        <w:tc>
          <w:tcPr>
            <w:tcW w:type="dxa" w:w="1440"/>
          </w:tcPr>
          <w:p>
            <w:r>
              <w:rPr>
                <w:rFonts w:ascii="Calibri" w:hAnsi="Calibri"/>
                <w:b/>
                <w:color w:val="30A46C"/>
                <w:sz w:val="22"/>
              </w:rPr>
              <w:t>-0.1 pts</w:t>
            </w:r>
          </w:p>
        </w:tc>
        <w:tc>
          <w:tcPr>
            <w:tcW w:type="dxa" w:w="1440"/>
          </w:tcPr>
          <w:p>
            <w:r>
              <w:rPr>
                <w:rFonts w:ascii="Calibri" w:hAnsi="Calibri"/>
                <w:b/>
                <w:color w:val="30A46C"/>
                <w:sz w:val="22"/>
              </w:rPr>
              <w:t>↑ Slightly Better</w:t>
            </w:r>
          </w:p>
        </w:tc>
      </w:tr>
    </w:tbl>
    <w:p>
      <w:r>
        <w:rPr>
          <w:rFonts w:ascii="Calibri" w:hAnsi="Calibri"/>
          <w:i/>
          <w:color w:val="525866"/>
          <w:sz w:val="22"/>
        </w:rPr>
        <w:t>Source: Visible Alpha Consensus and Actuals Data. Baseline as of April 23, 2026 (one week post-Q1 earnings). Current as of July 16, 2026.</w:t>
      </w:r>
    </w:p>
    <w:p>
      <w:r>
        <w:rPr>
          <w:rFonts w:ascii="Calibri" w:hAnsi="Calibri"/>
          <w:color w:val="525866"/>
          <w:sz w:val="22"/>
        </w:rPr>
        <w:t>The revision pattern is constructive: the Q2 Core EPS estimate has been revised up ~11% since the Q1 print, driven by the Street incorporating the strong underlying underwriting momentum and NII trajectory. NWP estimates are essentially flat, consistent with the Canadian ops sale impact being well-understood. The underlying combined ratio estimate has tightened marginally, suggesting no incremental concern about underwriting profitability. The revision trajectory supports a setup where the bar is achievable, though the all-in result will hinge on catastrophe experience.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TRV has </w:t>
      </w:r>
      <w:r>
        <w:rPr>
          <w:rFonts w:ascii="Calibri" w:hAnsi="Calibri"/>
          <w:b/>
          <w:color w:val="525866"/>
          <w:sz w:val="22"/>
        </w:rPr>
        <w:t>outperformed both the insurance sector (KIE) and the S&amp;P 500 since Q1 earnings</w:t>
      </w:r>
      <w:r>
        <w:rPr>
          <w:rFonts w:ascii="Calibri" w:hAnsi="Calibri"/>
          <w:color w:val="525866"/>
          <w:sz w:val="22"/>
        </w:rPr>
        <w:t>, rallying ~13% vs. +10% for KIE and +7% for SPY — suggesting the market has already priced in a degree of continued outperformance, raising the bar for a positive stock reaction on the Q2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TRV vs. KIE (Insurance ETF) vs. SPY — Indexed to 100 at Q1 2026 Earnings Close (Apr 16, 2026). Source: Stock Price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Notes</w:t>
            </w:r>
          </w:p>
        </w:tc>
      </w:tr>
      <w:tr>
        <w:tc>
          <w:tcPr>
            <w:tcW w:type="dxa" w:w="2880"/>
          </w:tcPr>
          <w:p>
            <w:r>
              <w:rPr>
                <w:rFonts w:ascii="Calibri" w:hAnsi="Calibri"/>
                <w:sz w:val="22"/>
              </w:rPr>
              <w:t>TRV Close at Q1 Earnings (Apr 16, 2026)</w:t>
            </w:r>
          </w:p>
        </w:tc>
        <w:tc>
          <w:tcPr>
            <w:tcW w:type="dxa" w:w="2880"/>
          </w:tcPr>
          <w:p>
            <w:r>
              <w:rPr>
                <w:rFonts w:ascii="Calibri" w:hAnsi="Calibri"/>
                <w:sz w:val="22"/>
              </w:rPr>
              <w:t>$298.84</w:t>
            </w:r>
          </w:p>
        </w:tc>
        <w:tc>
          <w:tcPr>
            <w:tcW w:type="dxa" w:w="2880"/>
          </w:tcPr>
          <w:p>
            <w:r>
              <w:rPr>
                <w:rFonts w:ascii="Calibri" w:hAnsi="Calibri"/>
                <w:sz w:val="22"/>
              </w:rPr>
              <w:t>Stock traded near flat on earnings day despite large EPS beat — beat was largely anticipated</w:t>
            </w:r>
          </w:p>
        </w:tc>
      </w:tr>
      <w:tr>
        <w:tc>
          <w:tcPr>
            <w:tcW w:type="dxa" w:w="2880"/>
          </w:tcPr>
          <w:p>
            <w:r>
              <w:rPr>
                <w:rFonts w:ascii="Calibri" w:hAnsi="Calibri"/>
                <w:sz w:val="22"/>
              </w:rPr>
              <w:t>TRV Close (Jul 16, 2026)</w:t>
            </w:r>
          </w:p>
        </w:tc>
        <w:tc>
          <w:tcPr>
            <w:tcW w:type="dxa" w:w="2880"/>
          </w:tcPr>
          <w:p>
            <w:r>
              <w:rPr>
                <w:rFonts w:ascii="Calibri" w:hAnsi="Calibri"/>
                <w:sz w:val="22"/>
              </w:rPr>
              <w:t>$337.82</w:t>
            </w:r>
          </w:p>
        </w:tc>
        <w:tc>
          <w:tcPr>
            <w:tcW w:type="dxa" w:w="2880"/>
          </w:tcPr>
          <w:p>
            <w:r>
              <w:rPr>
                <w:rFonts w:ascii="Calibri" w:hAnsi="Calibri"/>
                <w:sz w:val="22"/>
              </w:rPr>
              <w:t>Post-market: $337.85</w:t>
            </w:r>
          </w:p>
        </w:tc>
      </w:tr>
      <w:tr>
        <w:tc>
          <w:tcPr>
            <w:tcW w:type="dxa" w:w="2880"/>
          </w:tcPr>
          <w:p>
            <w:r>
              <w:rPr>
                <w:rFonts w:ascii="Calibri" w:hAnsi="Calibri"/>
                <w:sz w:val="22"/>
              </w:rPr>
              <w:t>TRV % Change Since Q1 Earnings</w:t>
            </w:r>
          </w:p>
        </w:tc>
        <w:tc>
          <w:tcPr>
            <w:tcW w:type="dxa" w:w="2880"/>
          </w:tcPr>
          <w:p>
            <w:r>
              <w:rPr>
                <w:rFonts w:ascii="Calibri" w:hAnsi="Calibri"/>
                <w:sz w:val="22"/>
              </w:rPr>
              <w:t>+13.0%</w:t>
            </w:r>
          </w:p>
        </w:tc>
        <w:tc>
          <w:tcPr>
            <w:tcW w:type="dxa" w:w="2880"/>
          </w:tcPr>
          <w:p>
            <w:r>
              <w:rPr>
                <w:rFonts w:ascii="Calibri" w:hAnsi="Calibri"/>
                <w:sz w:val="22"/>
              </w:rPr>
              <w:t>Outperforming KIE (+10.1%) and SPY (+7.0%)</w:t>
            </w:r>
          </w:p>
        </w:tc>
      </w:tr>
      <w:tr>
        <w:tc>
          <w:tcPr>
            <w:tcW w:type="dxa" w:w="2880"/>
          </w:tcPr>
          <w:p>
            <w:r>
              <w:rPr>
                <w:rFonts w:ascii="Calibri" w:hAnsi="Calibri"/>
                <w:sz w:val="22"/>
              </w:rPr>
              <w:t>KIE (Insurance ETF) % Change</w:t>
            </w:r>
          </w:p>
        </w:tc>
        <w:tc>
          <w:tcPr>
            <w:tcW w:type="dxa" w:w="2880"/>
          </w:tcPr>
          <w:p>
            <w:r>
              <w:rPr>
                <w:rFonts w:ascii="Calibri" w:hAnsi="Calibri"/>
                <w:sz w:val="22"/>
              </w:rPr>
              <w:t>+10.1%</w:t>
            </w:r>
          </w:p>
        </w:tc>
        <w:tc>
          <w:tcPr>
            <w:tcW w:type="dxa" w:w="2880"/>
          </w:tcPr>
          <w:p>
            <w:r>
              <w:rPr>
                <w:rFonts w:ascii="Calibri" w:hAnsi="Calibri"/>
                <w:sz w:val="22"/>
              </w:rPr>
              <w:t>Sector tailwind from favorable underwriting environment</w:t>
            </w:r>
          </w:p>
        </w:tc>
      </w:tr>
      <w:tr>
        <w:tc>
          <w:tcPr>
            <w:tcW w:type="dxa" w:w="2880"/>
          </w:tcPr>
          <w:p>
            <w:r>
              <w:rPr>
                <w:rFonts w:ascii="Calibri" w:hAnsi="Calibri"/>
                <w:sz w:val="22"/>
              </w:rPr>
              <w:t>SPY % Change</w:t>
            </w:r>
          </w:p>
        </w:tc>
        <w:tc>
          <w:tcPr>
            <w:tcW w:type="dxa" w:w="2880"/>
          </w:tcPr>
          <w:p>
            <w:r>
              <w:rPr>
                <w:rFonts w:ascii="Calibri" w:hAnsi="Calibri"/>
                <w:sz w:val="22"/>
              </w:rPr>
              <w:t>+7.0%</w:t>
            </w:r>
          </w:p>
        </w:tc>
        <w:tc>
          <w:tcPr>
            <w:tcW w:type="dxa" w:w="2880"/>
          </w:tcPr>
          <w:p>
            <w:r>
              <w:rPr>
                <w:rFonts w:ascii="Calibri" w:hAnsi="Calibri"/>
                <w:sz w:val="22"/>
              </w:rPr>
              <w:t>Broad market recovery from Q1 tariff-driven selloff</w:t>
            </w:r>
          </w:p>
        </w:tc>
      </w:tr>
      <w:tr>
        <w:tc>
          <w:tcPr>
            <w:tcW w:type="dxa" w:w="2880"/>
          </w:tcPr>
          <w:p>
            <w:r>
              <w:rPr>
                <w:rFonts w:ascii="Calibri" w:hAnsi="Calibri"/>
                <w:sz w:val="22"/>
              </w:rPr>
              <w:t>Analyst Consensus Rating</w:t>
            </w:r>
          </w:p>
        </w:tc>
        <w:tc>
          <w:tcPr>
            <w:tcW w:type="dxa" w:w="2880"/>
          </w:tcPr>
          <w:p>
            <w:r>
              <w:rPr>
                <w:rFonts w:ascii="Calibri" w:hAnsi="Calibri"/>
                <w:sz w:val="22"/>
              </w:rPr>
              <w:t>Hold (25 analysts)</w:t>
            </w:r>
          </w:p>
        </w:tc>
        <w:tc>
          <w:tcPr>
            <w:tcW w:type="dxa" w:w="2880"/>
          </w:tcPr>
          <w:p>
            <w:r>
              <w:rPr>
                <w:rFonts w:ascii="Calibri" w:hAnsi="Calibri"/>
                <w:sz w:val="22"/>
              </w:rPr>
              <w:t>5 Sell / 12 Hold / 8 Buy; avg. price target ~$329 (vs. current $337.82 — slight downside to consensus target)</w:t>
            </w:r>
          </w:p>
        </w:tc>
      </w:tr>
      <w:tr>
        <w:tc>
          <w:tcPr>
            <w:tcW w:type="dxa" w:w="2880"/>
          </w:tcPr>
          <w:p>
            <w:r>
              <w:rPr>
                <w:rFonts w:ascii="Calibri" w:hAnsi="Calibri"/>
                <w:sz w:val="22"/>
              </w:rPr>
              <w:t>Recent Analyst Actions (last 30 days)</w:t>
            </w:r>
          </w:p>
        </w:tc>
        <w:tc>
          <w:tcPr>
            <w:tcW w:type="dxa" w:w="2880"/>
          </w:tcPr>
          <w:p>
            <w:r>
              <w:rPr>
                <w:rFonts w:ascii="Calibri" w:hAnsi="Calibri"/>
                <w:sz w:val="22"/>
              </w:rPr>
              <w:t>4 Downgrades, 1 Upgrade</w:t>
            </w:r>
          </w:p>
        </w:tc>
        <w:tc>
          <w:tcPr>
            <w:tcW w:type="dxa" w:w="2880"/>
          </w:tcPr>
          <w:p>
            <w:r>
              <w:rPr>
                <w:rFonts w:ascii="Calibri" w:hAnsi="Calibri"/>
                <w:sz w:val="22"/>
              </w:rPr>
              <w:t>Morgan Stanley (Sell, $290), TD Cowen (Sell, $297), Evercore ISI (Hold, $329) all downgraded; Truist initiated Buy at $395; Piper Sandler maintained Buy at $340</w:t>
            </w:r>
          </w:p>
        </w:tc>
      </w:tr>
    </w:tbl>
    <w:p>
      <w:r>
        <w:rPr>
          <w:rFonts w:ascii="Calibri" w:hAnsi="Calibri"/>
          <w:i/>
          <w:color w:val="525866"/>
          <w:sz w:val="22"/>
        </w:rPr>
        <w:t>Source: Stock Price Data; analyst ratings from public sources as of July 16, 2026.</w:t>
      </w:r>
    </w:p>
    <w:p>
      <w:r>
        <w:rPr>
          <w:rFonts w:ascii="Calibri" w:hAnsi="Calibri"/>
          <w:color w:val="525866"/>
          <w:sz w:val="22"/>
        </w:rPr>
        <w:t>The stock's 13% rally since Q1 earnings has pushed TRV above the average analyst price target of ~$329, meaning the stock is trading at a slight premium to consensus fair value heading into the print. The wave of recent downgrades (Morgan Stanley, TD Cowen, Evercore ISI) reflects concern that the stock has run ahead of fundamentals and that the Q2 CAT headwind and NII lag are not fully appreciated. The bull case (Truist at $395, Piper at $340) rests on continued underwriting outperformance and NII growth. The stock's setup is asymmetric: a clean beat on the underlying CR with manageable CATs could push toward the bull targets, but a CAT-heavy quarter could validate the downgrade thesis.</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Q1 2026 earnings calls from P&amp;C peers (reported April–May 2026) paint a picture of a </w:t>
      </w:r>
      <w:r>
        <w:rPr>
          <w:rFonts w:ascii="Calibri" w:hAnsi="Calibri"/>
          <w:b/>
          <w:color w:val="525866"/>
          <w:sz w:val="22"/>
        </w:rPr>
        <w:t>softening commercial property market and increasingly competitive personal auto environment</w:t>
      </w:r>
      <w:r>
        <w:rPr>
          <w:rFonts w:ascii="Calibri" w:hAnsi="Calibri"/>
          <w:color w:val="525866"/>
          <w:sz w:val="22"/>
        </w:rPr>
        <w:t xml:space="preserve"> — both headwinds for TRV's pricing trajectory — but also confirm that </w:t>
      </w:r>
      <w:r>
        <w:rPr>
          <w:rFonts w:ascii="Calibri" w:hAnsi="Calibri"/>
          <w:b/>
          <w:color w:val="525866"/>
          <w:sz w:val="22"/>
        </w:rPr>
        <w:t>casualty lines remain disciplined and underwriting margins are broadly healthy</w:t>
      </w:r>
      <w:r>
        <w:rPr>
          <w:rFonts w:ascii="Calibri" w:hAnsi="Calibri"/>
          <w:color w:val="525866"/>
          <w:sz w:val="22"/>
        </w:rPr>
        <w:t>, which is supportive of TRV's underlying combined ratio holding near current levels.</w:t>
      </w:r>
    </w:p>
    <w:p>
      <w:r>
        <w:rPr>
          <w:rFonts w:ascii="Calibri" w:hAnsi="Calibri"/>
          <w:i/>
          <w:color w:val="525866"/>
          <w:sz w:val="22"/>
        </w:rPr>
        <w:t>The following commentary is sourced from Q1 2026 earnings calls of TRV's P&amp;C insurance peers (reported April–May 2026), which provide forward-looking read-through into Q2 2026 conditions. Only commentary about the current or forward environment is included — backward-looking Q1 result discussion is excluded.</w:t>
      </w:r>
    </w:p>
    <w:p>
      <w:pPr>
        <w:pStyle w:val="Heading3"/>
      </w:pPr>
      <w:r>
        <w:rPr>
          <w:rFonts w:ascii="Calibri" w:hAnsi="Calibri"/>
          <w:b/>
          <w:color w:val="3B4259"/>
          <w:sz w:val="24"/>
        </w:rPr>
        <w:t>Commercial Lines Pricing — Softening Property, Resilient Casualty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Call)</w:t>
            </w:r>
          </w:p>
        </w:tc>
        <w:tc>
          <w:tcPr>
            <w:tcW w:type="dxa" w:w="2880"/>
            <w:shd w:val="clear" w:color="auto" w:fill="3B4259"/>
          </w:tcPr>
          <w:p>
            <w:r>
              <w:rPr>
                <w:rFonts w:ascii="Calibri" w:hAnsi="Calibri"/>
                <w:b/>
                <w:color w:val="FFFFFF"/>
                <w:sz w:val="22"/>
              </w:rPr>
              <w:t>TRV Read-Through</w:t>
            </w:r>
          </w:p>
        </w:tc>
      </w:tr>
      <w:tr>
        <w:tc>
          <w:tcPr>
            <w:tcW w:type="dxa" w:w="2880"/>
          </w:tcPr>
          <w:p>
            <w:r>
              <w:rPr>
                <w:rFonts w:ascii="Calibri" w:hAnsi="Calibri"/>
                <w:sz w:val="22"/>
              </w:rPr>
              <w:t>CB (Chubb)</w:t>
            </w:r>
          </w:p>
        </w:tc>
        <w:tc>
          <w:tcPr>
            <w:tcW w:type="dxa" w:w="2880"/>
          </w:tcPr>
          <w:p>
            <w:r>
              <w:rPr>
                <w:rFonts w:ascii="Calibri" w:hAnsi="Calibri"/>
                <w:sz w:val="22"/>
              </w:rPr>
              <w:t>"In a number of important markets, property and financial lines pricing conditions are soft, with property pricing in those markets softening in a pace that, frankly, I'll only describe as dumb." Overall market rate in shared and layered property in North America and London is "off 25% in the quarter, heading to 30%" and "accelerating."</w:t>
            </w:r>
          </w:p>
        </w:tc>
        <w:tc>
          <w:tcPr>
            <w:tcW w:type="dxa" w:w="2880"/>
          </w:tcPr>
          <w:p>
            <w:r>
              <w:rPr>
                <w:rFonts w:ascii="Calibri" w:hAnsi="Calibri"/>
                <w:b/>
                <w:color w:val="E5484D"/>
                <w:sz w:val="22"/>
              </w:rPr>
              <w:t>Negative read-through for TRV's commercial property RPC, which was already moderating in Q1 2026. Suggests further deceleration in property pricing in Q2.</w:t>
            </w:r>
          </w:p>
        </w:tc>
      </w:tr>
      <w:tr>
        <w:tc>
          <w:tcPr>
            <w:tcW w:type="dxa" w:w="2880"/>
          </w:tcPr>
          <w:p>
            <w:r>
              <w:rPr>
                <w:rFonts w:ascii="Calibri" w:hAnsi="Calibri"/>
                <w:sz w:val="22"/>
              </w:rPr>
              <w:t>WRB (W.R. Berkley)</w:t>
            </w:r>
          </w:p>
        </w:tc>
        <w:tc>
          <w:tcPr>
            <w:tcW w:type="dxa" w:w="2880"/>
          </w:tcPr>
          <w:p>
            <w:r>
              <w:rPr>
                <w:rFonts w:ascii="Calibri" w:hAnsi="Calibri"/>
                <w:sz w:val="22"/>
              </w:rPr>
              <w:t>"The fear is fading and the greed is fully percolating in many of the corners of the marketplace today." Notes "a notable shift in the appetite of the standard market, in particular, national carriers who seem to be broadening their appetite" — a direct reference to large carriers like TRV. GL and umbrella are "areas where rate is still available with good reason."</w:t>
            </w:r>
          </w:p>
        </w:tc>
        <w:tc>
          <w:tcPr>
            <w:tcW w:type="dxa" w:w="2880"/>
          </w:tcPr>
          <w:p>
            <w:r>
              <w:rPr>
                <w:rFonts w:ascii="Calibri" w:hAnsi="Calibri"/>
                <w:b/>
                <w:color w:val="E5484D"/>
                <w:sz w:val="22"/>
              </w:rPr>
              <w:t>Mixed: property softening is a headwind, but WRB's confirmation that GL/umbrella rate is still available is supportive of TRV's casualty pricing discipline.</w:t>
            </w:r>
          </w:p>
        </w:tc>
      </w:tr>
      <w:tr>
        <w:tc>
          <w:tcPr>
            <w:tcW w:type="dxa" w:w="2880"/>
          </w:tcPr>
          <w:p>
            <w:r>
              <w:rPr>
                <w:rFonts w:ascii="Calibri" w:hAnsi="Calibri"/>
                <w:sz w:val="22"/>
              </w:rPr>
              <w:t>CINF (Cincinnati Financial)</w:t>
            </w:r>
          </w:p>
        </w:tc>
        <w:tc>
          <w:tcPr>
            <w:tcW w:type="dxa" w:w="2880"/>
          </w:tcPr>
          <w:p>
            <w:r>
              <w:rPr>
                <w:rFonts w:ascii="Calibri" w:hAnsi="Calibri"/>
                <w:sz w:val="22"/>
              </w:rPr>
              <w:t>Market is "softening" and pricing power in commercial lines is "biased downwards" over the "coming year." Getting "mid-single-digit increases" in commercial casualty. Pricing pressure more pronounced for larger accounts and "even more so on commercial property."</w:t>
            </w:r>
          </w:p>
        </w:tc>
        <w:tc>
          <w:tcPr>
            <w:tcW w:type="dxa" w:w="2880"/>
          </w:tcPr>
          <w:p>
            <w:r>
              <w:rPr>
                <w:rFonts w:ascii="Calibri" w:hAnsi="Calibri"/>
                <w:b/>
                <w:color w:val="E5484D"/>
                <w:sz w:val="22"/>
              </w:rPr>
              <w:t>Consistent with TRV's own Q1 messaging on property moderation. Mid-single-digit casualty increases align with TRV's GL/WC pricing trajectory.</w:t>
            </w:r>
          </w:p>
        </w:tc>
      </w:tr>
      <w:tr>
        <w:tc>
          <w:tcPr>
            <w:tcW w:type="dxa" w:w="2880"/>
          </w:tcPr>
          <w:p>
            <w:r>
              <w:rPr>
                <w:rFonts w:ascii="Calibri" w:hAnsi="Calibri"/>
                <w:sz w:val="22"/>
              </w:rPr>
              <w:t>HIG (Hartford)</w:t>
            </w:r>
          </w:p>
        </w:tc>
        <w:tc>
          <w:tcPr>
            <w:tcW w:type="dxa" w:w="2880"/>
          </w:tcPr>
          <w:p>
            <w:r>
              <w:rPr>
                <w:rFonts w:ascii="Calibri" w:hAnsi="Calibri"/>
                <w:sz w:val="22"/>
              </w:rPr>
              <w:t>"Pricing in commercial auto and liability, including umbrella and excess remained strong and above loss trend." Property pricing moderated but the line remains "highly profitable." Workers' comp market competitive — "I don't see a price increase coming anytime soon."</w:t>
            </w:r>
          </w:p>
        </w:tc>
        <w:tc>
          <w:tcPr>
            <w:tcW w:type="dxa" w:w="2880"/>
          </w:tcPr>
          <w:p>
            <w:r>
              <w:rPr>
                <w:rFonts w:ascii="Calibri" w:hAnsi="Calibri"/>
                <w:b/>
                <w:color w:val="30A46C"/>
                <w:sz w:val="22"/>
              </w:rPr>
              <w:t>Positive read-through: commercial auto and liability pricing above loss trend is supportive of TRV's Business Insurance underlying CR. WC softness is consistent with TRV's messaging.</w:t>
            </w:r>
          </w:p>
        </w:tc>
      </w:tr>
      <w:tr>
        <w:tc>
          <w:tcPr>
            <w:tcW w:type="dxa" w:w="2880"/>
          </w:tcPr>
          <w:p>
            <w:r>
              <w:rPr>
                <w:rFonts w:ascii="Calibri" w:hAnsi="Calibri"/>
                <w:sz w:val="22"/>
              </w:rPr>
              <w:t>AIG</w:t>
            </w:r>
          </w:p>
        </w:tc>
        <w:tc>
          <w:tcPr>
            <w:tcW w:type="dxa" w:w="2880"/>
          </w:tcPr>
          <w:p>
            <w:r>
              <w:rPr>
                <w:rFonts w:ascii="Calibri" w:hAnsi="Calibri"/>
                <w:sz w:val="22"/>
              </w:rPr>
              <w:t>U.S. Property market "remains very competitive." Casualty has become "a little bit more under pressure from rates" but "still very good returns." Contracting Lexington large account portfolio due to pricing pressure.</w:t>
            </w:r>
          </w:p>
        </w:tc>
        <w:tc>
          <w:tcPr>
            <w:tcW w:type="dxa" w:w="2880"/>
          </w:tcPr>
          <w:p>
            <w:r>
              <w:rPr>
                <w:rFonts w:ascii="Calibri" w:hAnsi="Calibri"/>
                <w:b/>
                <w:color w:val="E5484D"/>
                <w:sz w:val="22"/>
              </w:rPr>
              <w:t>Confirms property market softening. Casualty discipline broadly intact — supportive of TRV's casualty underwriting margins.</w:t>
            </w:r>
          </w:p>
        </w:tc>
      </w:tr>
      <w:tr>
        <w:tc>
          <w:tcPr>
            <w:tcW w:type="dxa" w:w="2880"/>
          </w:tcPr>
          <w:p>
            <w:r>
              <w:rPr>
                <w:rFonts w:ascii="Calibri" w:hAnsi="Calibri"/>
                <w:sz w:val="22"/>
              </w:rPr>
              <w:t>CNA Financial</w:t>
            </w:r>
          </w:p>
        </w:tc>
        <w:tc>
          <w:tcPr>
            <w:tcW w:type="dxa" w:w="2880"/>
          </w:tcPr>
          <w:p>
            <w:r>
              <w:rPr>
                <w:rFonts w:ascii="Calibri" w:hAnsi="Calibri"/>
                <w:sz w:val="22"/>
              </w:rPr>
              <w:t>Plans to "operate with strong discipline" and tighten execution to optimize portfolio in the current environment. Focused on underwriting strategies to navigate softening conditions.</w:t>
            </w:r>
          </w:p>
        </w:tc>
        <w:tc>
          <w:tcPr>
            <w:tcW w:type="dxa" w:w="2880"/>
          </w:tcPr>
          <w:p>
            <w:r>
              <w:rPr>
                <w:rFonts w:ascii="Calibri" w:hAnsi="Calibri"/>
                <w:sz w:val="22"/>
              </w:rPr>
              <w:t>Neutral: CNA's defensive posture mirrors TRV's disciplined approach; no incremental positive or negative signal.</w:t>
            </w:r>
          </w:p>
        </w:tc>
      </w:tr>
    </w:tbl>
    <w:p>
      <w:pPr>
        <w:pStyle w:val="Heading3"/>
      </w:pPr>
      <w:r>
        <w:rPr>
          <w:rFonts w:ascii="Calibri" w:hAnsi="Calibri"/>
          <w:b/>
          <w:color w:val="3B4259"/>
          <w:sz w:val="24"/>
        </w:rPr>
        <w:t>Personal Lines — Competitive Auto, Moderating Homeowners Pricing</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Call)</w:t>
            </w:r>
          </w:p>
        </w:tc>
        <w:tc>
          <w:tcPr>
            <w:tcW w:type="dxa" w:w="2880"/>
            <w:shd w:val="clear" w:color="auto" w:fill="3B4259"/>
          </w:tcPr>
          <w:p>
            <w:r>
              <w:rPr>
                <w:rFonts w:ascii="Calibri" w:hAnsi="Calibri"/>
                <w:b/>
                <w:color w:val="FFFFFF"/>
                <w:sz w:val="22"/>
              </w:rPr>
              <w:t>TRV Read-Through</w:t>
            </w:r>
          </w:p>
        </w:tc>
      </w:tr>
      <w:tr>
        <w:tc>
          <w:tcPr>
            <w:tcW w:type="dxa" w:w="2880"/>
          </w:tcPr>
          <w:p>
            <w:r>
              <w:rPr>
                <w:rFonts w:ascii="Calibri" w:hAnsi="Calibri"/>
                <w:sz w:val="22"/>
              </w:rPr>
              <w:t>PGR (Progressive)</w:t>
            </w:r>
          </w:p>
        </w:tc>
        <w:tc>
          <w:tcPr>
            <w:tcW w:type="dxa" w:w="2880"/>
          </w:tcPr>
          <w:p>
            <w:r>
              <w:rPr>
                <w:rFonts w:ascii="Calibri" w:hAnsi="Calibri"/>
                <w:sz w:val="22"/>
              </w:rPr>
              <w:t>"The environment remains competitive as it has been for the last 5-plus quarters." "We don't know how long the soft market will prevail, but we have definitely seen a lot more competition because everyone has great margins." "Will margins compress? Possibly." Reducing rates in some states and business segments.</w:t>
            </w:r>
          </w:p>
        </w:tc>
        <w:tc>
          <w:tcPr>
            <w:tcW w:type="dxa" w:w="2880"/>
          </w:tcPr>
          <w:p>
            <w:r>
              <w:rPr>
                <w:rFonts w:ascii="Calibri" w:hAnsi="Calibri"/>
                <w:b/>
                <w:color w:val="E5484D"/>
                <w:sz w:val="22"/>
              </w:rPr>
              <w:t>Confirms the personal auto market is highly competitive. TRV's auto RPC has been moderating — this is consistent and expected. Margin compression risk is real but TRV's auto underlying CR of 88.3% in Q1 provides cushion.</w:t>
            </w:r>
          </w:p>
        </w:tc>
      </w:tr>
      <w:tr>
        <w:tc>
          <w:tcPr>
            <w:tcW w:type="dxa" w:w="2880"/>
          </w:tcPr>
          <w:p>
            <w:r>
              <w:rPr>
                <w:rFonts w:ascii="Calibri" w:hAnsi="Calibri"/>
                <w:sz w:val="22"/>
              </w:rPr>
              <w:t>ALL (Allstate)</w:t>
            </w:r>
          </w:p>
        </w:tc>
        <w:tc>
          <w:tcPr>
            <w:tcW w:type="dxa" w:w="2880"/>
          </w:tcPr>
          <w:p>
            <w:r>
              <w:rPr>
                <w:rFonts w:ascii="Calibri" w:hAnsi="Calibri"/>
                <w:sz w:val="22"/>
              </w:rPr>
              <w:t>Implementing a forward-looking plan for rate changes over the next 6–12 months — lowering rates in some states while taking "modest rate increases" in others. Competitors "aggressively positioning renewal rate decreases, increasing marketing spend and introducing new business discounts."</w:t>
            </w:r>
          </w:p>
        </w:tc>
        <w:tc>
          <w:tcPr>
            <w:tcW w:type="dxa" w:w="2880"/>
          </w:tcPr>
          <w:p>
            <w:r>
              <w:rPr>
                <w:rFonts w:ascii="Calibri" w:hAnsi="Calibri"/>
                <w:b/>
                <w:color w:val="E5484D"/>
                <w:sz w:val="22"/>
              </w:rPr>
              <w:t>Competitive personal auto market is intensifying. TRV is in growth mode in Personal Insurance — this competitive backdrop could pressure new business acquisition costs and retention economics in Q2 and beyond.</w:t>
            </w:r>
          </w:p>
        </w:tc>
      </w:tr>
      <w:tr>
        <w:tc>
          <w:tcPr>
            <w:tcW w:type="dxa" w:w="2880"/>
          </w:tcPr>
          <w:p>
            <w:r>
              <w:rPr>
                <w:rFonts w:ascii="Calibri" w:hAnsi="Calibri"/>
                <w:sz w:val="22"/>
              </w:rPr>
              <w:t>HIG (Hartford)</w:t>
            </w:r>
          </w:p>
        </w:tc>
        <w:tc>
          <w:tcPr>
            <w:tcW w:type="dxa" w:w="2880"/>
          </w:tcPr>
          <w:p>
            <w:r>
              <w:rPr>
                <w:rFonts w:ascii="Calibri" w:hAnsi="Calibri"/>
                <w:sz w:val="22"/>
              </w:rPr>
              <w:t>Personal auto market is "dynamic" with competitors "aggressively positioning renewal rate decreases, increasing marketing spend and introducing new business discounts."</w:t>
            </w:r>
          </w:p>
        </w:tc>
        <w:tc>
          <w:tcPr>
            <w:tcW w:type="dxa" w:w="2880"/>
          </w:tcPr>
          <w:p>
            <w:r>
              <w:rPr>
                <w:rFonts w:ascii="Calibri" w:hAnsi="Calibri"/>
                <w:b/>
                <w:color w:val="E5484D"/>
                <w:sz w:val="22"/>
              </w:rPr>
              <w:t>Consistent with PGR and ALL — reinforces that the personal auto competitive environment is intensifying as the industry's profitability has recovered. TRV's growth push in Personal Insurance faces a more competitive backdrop.</w:t>
            </w:r>
          </w:p>
        </w:tc>
      </w:tr>
    </w:tbl>
    <w:p>
      <w:pPr>
        <w:pStyle w:val="Heading3"/>
      </w:pPr>
      <w:r>
        <w:rPr>
          <w:rFonts w:ascii="Calibri" w:hAnsi="Calibri"/>
          <w:b/>
          <w:color w:val="3B4259"/>
          <w:sz w:val="24"/>
        </w:rPr>
        <w:t>Catastrophe Losses &amp; Loss Environment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Call)</w:t>
            </w:r>
          </w:p>
        </w:tc>
        <w:tc>
          <w:tcPr>
            <w:tcW w:type="dxa" w:w="2880"/>
            <w:shd w:val="clear" w:color="auto" w:fill="3B4259"/>
          </w:tcPr>
          <w:p>
            <w:r>
              <w:rPr>
                <w:rFonts w:ascii="Calibri" w:hAnsi="Calibri"/>
                <w:b/>
                <w:color w:val="FFFFFF"/>
                <w:sz w:val="22"/>
              </w:rPr>
              <w:t>TRV Read-Through</w:t>
            </w:r>
          </w:p>
        </w:tc>
      </w:tr>
      <w:tr>
        <w:tc>
          <w:tcPr>
            <w:tcW w:type="dxa" w:w="2880"/>
          </w:tcPr>
          <w:p>
            <w:r>
              <w:rPr>
                <w:rFonts w:ascii="Calibri" w:hAnsi="Calibri"/>
                <w:sz w:val="22"/>
              </w:rPr>
              <w:t>WRB (W.R. Berkley)</w:t>
            </w:r>
          </w:p>
        </w:tc>
        <w:tc>
          <w:tcPr>
            <w:tcW w:type="dxa" w:w="2880"/>
          </w:tcPr>
          <w:p>
            <w:r>
              <w:rPr>
                <w:rFonts w:ascii="Calibri" w:hAnsi="Calibri"/>
                <w:sz w:val="22"/>
              </w:rPr>
              <w:t>Commercial auto remains "an area of great concern" from a loss trend perspective. Casualty payout patterns remain elevated.</w:t>
            </w:r>
          </w:p>
        </w:tc>
        <w:tc>
          <w:tcPr>
            <w:tcW w:type="dxa" w:w="2880"/>
          </w:tcPr>
          <w:p>
            <w:r>
              <w:rPr>
                <w:rFonts w:ascii="Calibri" w:hAnsi="Calibri"/>
                <w:b/>
                <w:color w:val="30A46C"/>
                <w:sz w:val="22"/>
              </w:rPr>
              <w:t>Consistent with TRV's own messaging on casualty uncertainty. Supports TRV's conservative reserving posture and the continued carry of the uncertainty provision.</w:t>
            </w:r>
          </w:p>
        </w:tc>
      </w:tr>
      <w:tr>
        <w:tc>
          <w:tcPr>
            <w:tcW w:type="dxa" w:w="2880"/>
          </w:tcPr>
          <w:p>
            <w:r>
              <w:rPr>
                <w:rFonts w:ascii="Calibri" w:hAnsi="Calibri"/>
                <w:sz w:val="22"/>
              </w:rPr>
              <w:t>CINF (Cincinnati Financial)</w:t>
            </w:r>
          </w:p>
        </w:tc>
        <w:tc>
          <w:tcPr>
            <w:tcW w:type="dxa" w:w="2880"/>
          </w:tcPr>
          <w:p>
            <w:r>
              <w:rPr>
                <w:rFonts w:ascii="Calibri" w:hAnsi="Calibri"/>
                <w:sz w:val="22"/>
              </w:rPr>
              <w:t>Emphasizes that even in a softening market, "segmentation strategy" is crucial for underwriters to maintain discipline and avoid adverse selection.</w:t>
            </w:r>
          </w:p>
        </w:tc>
        <w:tc>
          <w:tcPr>
            <w:tcW w:type="dxa" w:w="2880"/>
          </w:tcPr>
          <w:p>
            <w:r>
              <w:rPr>
                <w:rFonts w:ascii="Calibri" w:hAnsi="Calibri"/>
                <w:b/>
                <w:color w:val="30A46C"/>
                <w:sz w:val="22"/>
              </w:rPr>
              <w:t>Supportive of TRV's underwriting discipline narrative. TRV's data and AI investments in risk selection are a competitive advantage in a softening market.</w:t>
            </w:r>
          </w:p>
        </w:tc>
      </w:tr>
      <w:tr>
        <w:tc>
          <w:tcPr>
            <w:tcW w:type="dxa" w:w="2880"/>
          </w:tcPr>
          <w:p>
            <w:r>
              <w:rPr>
                <w:rFonts w:ascii="Calibri" w:hAnsi="Calibri"/>
                <w:sz w:val="22"/>
              </w:rPr>
              <w:t>AIG</w:t>
            </w:r>
          </w:p>
        </w:tc>
        <w:tc>
          <w:tcPr>
            <w:tcW w:type="dxa" w:w="2880"/>
          </w:tcPr>
          <w:p>
            <w:r>
              <w:rPr>
                <w:rFonts w:ascii="Calibri" w:hAnsi="Calibri"/>
                <w:sz w:val="22"/>
              </w:rPr>
              <w:t>Retail Casualty portfolio continues to achieve double-digit growth as market conditions are "largely disciplined in liability lines."</w:t>
            </w:r>
          </w:p>
        </w:tc>
        <w:tc>
          <w:tcPr>
            <w:tcW w:type="dxa" w:w="2880"/>
          </w:tcPr>
          <w:p>
            <w:r>
              <w:rPr>
                <w:rFonts w:ascii="Calibri" w:hAnsi="Calibri"/>
                <w:b/>
                <w:color w:val="30A46C"/>
                <w:sz w:val="22"/>
              </w:rPr>
              <w:t>Positive: casualty market discipline broadly intact. Supports TRV's ability to maintain adequate pricing in its largest segment (Business Insurance casualty lines).</w:t>
            </w:r>
          </w:p>
        </w:tc>
      </w:tr>
    </w:tbl>
    <w:p>
      <w:r>
        <w:rPr>
          <w:rFonts w:ascii="Calibri" w:hAnsi="Calibri"/>
          <w:b/>
          <w:color w:val="525866"/>
          <w:sz w:val="22"/>
        </w:rPr>
        <w:t xml:space="preserve">Overall Peer Read-Through Assessment: </w:t>
      </w:r>
      <w:r>
        <w:rPr>
          <w:rFonts w:ascii="Calibri" w:hAnsi="Calibri"/>
          <w:color w:val="525866"/>
          <w:sz w:val="22"/>
        </w:rPr>
        <w:t xml:space="preserve">The peer commentary is net negative on pricing trajectory (particularly commercial property and personal auto) but net positive on underwriting discipline and casualty market structure. For TRV specifically, the most important read-through is that </w:t>
      </w:r>
      <w:r>
        <w:rPr>
          <w:rFonts w:ascii="Calibri" w:hAnsi="Calibri"/>
          <w:b/>
          <w:color w:val="525866"/>
          <w:sz w:val="22"/>
        </w:rPr>
        <w:t>the underlying combined ratio should remain well-controlled</w:t>
      </w:r>
      <w:r>
        <w:rPr>
          <w:rFonts w:ascii="Calibri" w:hAnsi="Calibri"/>
          <w:color w:val="525866"/>
          <w:sz w:val="22"/>
        </w:rPr>
        <w:t xml:space="preserve"> — peers are not signaling any deterioration in loss trends that would surprise TRV's conservative reserving posture. The </w:t>
      </w:r>
      <w:r>
        <w:rPr>
          <w:rFonts w:ascii="Calibri" w:hAnsi="Calibri"/>
          <w:b/>
          <w:color w:val="525866"/>
          <w:sz w:val="22"/>
        </w:rPr>
        <w:t>key risk is on the pricing/growth side</w:t>
      </w:r>
      <w:r>
        <w:rPr>
          <w:rFonts w:ascii="Calibri" w:hAnsi="Calibri"/>
          <w:color w:val="525866"/>
          <w:sz w:val="22"/>
        </w:rPr>
        <w:t>: TRV is pushing into growth mode in Personal Insurance at exactly the moment when competitors are aggressively cutting rates, which could pressure new business economics in the back half of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No material company-specific negative news since Q1 earnings; the most significant development is a </w:t>
      </w:r>
      <w:r>
        <w:rPr>
          <w:rFonts w:ascii="Calibri" w:hAnsi="Calibri"/>
          <w:b/>
          <w:color w:val="525866"/>
          <w:sz w:val="22"/>
        </w:rPr>
        <w:t>wave of analyst downgrades in the two weeks before the print</w:t>
      </w:r>
      <w:r>
        <w:rPr>
          <w:rFonts w:ascii="Calibri" w:hAnsi="Calibri"/>
          <w:color w:val="525866"/>
          <w:sz w:val="22"/>
        </w:rPr>
        <w:t xml:space="preserve"> reflecting valuation concerns after the stock's 13% rally, not fundamental deterioration.</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Significance</w:t>
            </w:r>
          </w:p>
        </w:tc>
      </w:tr>
      <w:tr>
        <w:tc>
          <w:tcPr>
            <w:tcW w:type="dxa" w:w="2880"/>
          </w:tcPr>
          <w:p>
            <w:r>
              <w:rPr>
                <w:rFonts w:ascii="Calibri" w:hAnsi="Calibri"/>
                <w:sz w:val="22"/>
              </w:rPr>
              <w:t>Apr 16, 2026</w:t>
            </w:r>
          </w:p>
        </w:tc>
        <w:tc>
          <w:tcPr>
            <w:tcW w:type="dxa" w:w="2880"/>
          </w:tcPr>
          <w:p>
            <w:r>
              <w:rPr>
                <w:rFonts w:ascii="Calibri" w:hAnsi="Calibri"/>
                <w:sz w:val="22"/>
              </w:rPr>
              <w:t>Q1 2026 Earnings: Core EPS $7.77 vs. $7.05 consensus (+10.2% beat); underlying CR 85.3%; 14% dividend increase to $1.25/share; $2B+ in buybacks; Canadian ops sale closed Jan 2</w:t>
            </w:r>
          </w:p>
        </w:tc>
        <w:tc>
          <w:tcPr>
            <w:tcW w:type="dxa" w:w="2880"/>
          </w:tcPr>
          <w:p>
            <w:r>
              <w:rPr>
                <w:rFonts w:ascii="Calibri" w:hAnsi="Calibri"/>
                <w:sz w:val="22"/>
              </w:rPr>
              <w:t>Strong beat; management tone very confident; stock traded near flat on earnings day suggesting beat was anticipated</w:t>
            </w:r>
          </w:p>
        </w:tc>
      </w:tr>
      <w:tr>
        <w:tc>
          <w:tcPr>
            <w:tcW w:type="dxa" w:w="2880"/>
          </w:tcPr>
          <w:p>
            <w:r>
              <w:rPr>
                <w:rFonts w:ascii="Calibri" w:hAnsi="Calibri"/>
                <w:sz w:val="22"/>
              </w:rPr>
              <w:t>Jun 12, 2026</w:t>
            </w:r>
          </w:p>
        </w:tc>
        <w:tc>
          <w:tcPr>
            <w:tcW w:type="dxa" w:w="2880"/>
          </w:tcPr>
          <w:p>
            <w:r>
              <w:rPr>
                <w:rFonts w:ascii="Calibri" w:hAnsi="Calibri"/>
                <w:sz w:val="22"/>
              </w:rPr>
              <w:t>TRV schedules Q2 2026 earnings call for July 17, 2026 at 9:00 AM ET</w:t>
            </w:r>
          </w:p>
        </w:tc>
        <w:tc>
          <w:tcPr>
            <w:tcW w:type="dxa" w:w="2880"/>
          </w:tcPr>
          <w:p>
            <w:r>
              <w:rPr>
                <w:rFonts w:ascii="Calibri" w:hAnsi="Calibri"/>
                <w:sz w:val="22"/>
              </w:rPr>
              <w:t>Routine scheduling announcement; confirms July 17 BMO release</w:t>
            </w:r>
          </w:p>
        </w:tc>
      </w:tr>
      <w:tr>
        <w:tc>
          <w:tcPr>
            <w:tcW w:type="dxa" w:w="2880"/>
          </w:tcPr>
          <w:p>
            <w:r>
              <w:rPr>
                <w:rFonts w:ascii="Calibri" w:hAnsi="Calibri"/>
                <w:sz w:val="22"/>
              </w:rPr>
              <w:t>Jul 10, 2026</w:t>
            </w:r>
          </w:p>
        </w:tc>
        <w:tc>
          <w:tcPr>
            <w:tcW w:type="dxa" w:w="2880"/>
          </w:tcPr>
          <w:p>
            <w:r>
              <w:rPr>
                <w:rFonts w:ascii="Calibri" w:hAnsi="Calibri"/>
                <w:sz w:val="22"/>
              </w:rPr>
              <w:t>Truist Securities initiates coverage with Buy rating and $395 price target</w:t>
            </w:r>
          </w:p>
        </w:tc>
        <w:tc>
          <w:tcPr>
            <w:tcW w:type="dxa" w:w="2880"/>
          </w:tcPr>
          <w:p>
            <w:r>
              <w:rPr>
                <w:rFonts w:ascii="Calibri" w:hAnsi="Calibri"/>
                <w:sz w:val="22"/>
              </w:rPr>
              <w:t>Bullish initiation; highest price target on the Street; thesis likely centered on sustained underwriting outperformance and NII growth</w:t>
            </w:r>
          </w:p>
        </w:tc>
      </w:tr>
      <w:tr>
        <w:tc>
          <w:tcPr>
            <w:tcW w:type="dxa" w:w="2880"/>
          </w:tcPr>
          <w:p>
            <w:r>
              <w:rPr>
                <w:rFonts w:ascii="Calibri" w:hAnsi="Calibri"/>
                <w:sz w:val="22"/>
              </w:rPr>
              <w:t>Jul 10, 2026</w:t>
            </w:r>
          </w:p>
        </w:tc>
        <w:tc>
          <w:tcPr>
            <w:tcW w:type="dxa" w:w="2880"/>
          </w:tcPr>
          <w:p>
            <w:r>
              <w:rPr>
                <w:rFonts w:ascii="Calibri" w:hAnsi="Calibri"/>
                <w:sz w:val="22"/>
              </w:rPr>
              <w:t>Evercore ISI downgrades TRV from Outperform to In-Line; raises target to $329 from $321</w:t>
            </w:r>
          </w:p>
        </w:tc>
        <w:tc>
          <w:tcPr>
            <w:tcW w:type="dxa" w:w="2880"/>
          </w:tcPr>
          <w:p>
            <w:r>
              <w:rPr>
                <w:rFonts w:ascii="Calibri" w:hAnsi="Calibri"/>
                <w:sz w:val="22"/>
              </w:rPr>
              <w:t>Valuation-driven downgrade after stock rally; not a fundamental concern</w:t>
            </w:r>
          </w:p>
        </w:tc>
      </w:tr>
      <w:tr>
        <w:tc>
          <w:tcPr>
            <w:tcW w:type="dxa" w:w="2880"/>
          </w:tcPr>
          <w:p>
            <w:r>
              <w:rPr>
                <w:rFonts w:ascii="Calibri" w:hAnsi="Calibri"/>
                <w:sz w:val="22"/>
              </w:rPr>
              <w:t>Jul 13, 2026</w:t>
            </w:r>
          </w:p>
        </w:tc>
        <w:tc>
          <w:tcPr>
            <w:tcW w:type="dxa" w:w="2880"/>
          </w:tcPr>
          <w:p>
            <w:r>
              <w:rPr>
                <w:rFonts w:ascii="Calibri" w:hAnsi="Calibri"/>
                <w:sz w:val="22"/>
              </w:rPr>
              <w:t>Morgan Stanley downgrades TRV from Equal Weight to Underweight; cuts target to $290 from $333</w:t>
            </w:r>
          </w:p>
        </w:tc>
        <w:tc>
          <w:tcPr>
            <w:tcW w:type="dxa" w:w="2880"/>
          </w:tcPr>
          <w:p>
            <w:r>
              <w:rPr>
                <w:rFonts w:ascii="Calibri" w:hAnsi="Calibri"/>
                <w:sz w:val="22"/>
              </w:rPr>
              <w:t>Most bearish action; cites slowing growth and margin concerns; $290 target implies ~14% downside from current levels</w:t>
            </w:r>
          </w:p>
        </w:tc>
      </w:tr>
      <w:tr>
        <w:tc>
          <w:tcPr>
            <w:tcW w:type="dxa" w:w="2880"/>
          </w:tcPr>
          <w:p>
            <w:r>
              <w:rPr>
                <w:rFonts w:ascii="Calibri" w:hAnsi="Calibri"/>
                <w:sz w:val="22"/>
              </w:rPr>
              <w:t>Jul 13, 2026</w:t>
            </w:r>
          </w:p>
        </w:tc>
        <w:tc>
          <w:tcPr>
            <w:tcW w:type="dxa" w:w="2880"/>
          </w:tcPr>
          <w:p>
            <w:r>
              <w:rPr>
                <w:rFonts w:ascii="Calibri" w:hAnsi="Calibri"/>
                <w:sz w:val="22"/>
              </w:rPr>
              <w:t>TD Cowen downgrades TRV from Hold to Sell; maintains $297 target</w:t>
            </w:r>
          </w:p>
        </w:tc>
        <w:tc>
          <w:tcPr>
            <w:tcW w:type="dxa" w:w="2880"/>
          </w:tcPr>
          <w:p>
            <w:r>
              <w:rPr>
                <w:rFonts w:ascii="Calibri" w:hAnsi="Calibri"/>
                <w:sz w:val="22"/>
              </w:rPr>
              <w:t>Second Sell rating in one day; reinforces valuation concern heading into the print</w:t>
            </w:r>
          </w:p>
        </w:tc>
      </w:tr>
      <w:tr>
        <w:tc>
          <w:tcPr>
            <w:tcW w:type="dxa" w:w="2880"/>
          </w:tcPr>
          <w:p>
            <w:r>
              <w:rPr>
                <w:rFonts w:ascii="Calibri" w:hAnsi="Calibri"/>
                <w:sz w:val="22"/>
              </w:rPr>
              <w:t>Jul 13, 2026</w:t>
            </w:r>
          </w:p>
        </w:tc>
        <w:tc>
          <w:tcPr>
            <w:tcW w:type="dxa" w:w="2880"/>
          </w:tcPr>
          <w:p>
            <w:r>
              <w:rPr>
                <w:rFonts w:ascii="Calibri" w:hAnsi="Calibri"/>
                <w:sz w:val="22"/>
              </w:rPr>
              <w:t>Piper Sandler maintains Buy rating with $340 price target</w:t>
            </w:r>
          </w:p>
        </w:tc>
        <w:tc>
          <w:tcPr>
            <w:tcW w:type="dxa" w:w="2880"/>
          </w:tcPr>
          <w:p>
            <w:r>
              <w:rPr>
                <w:rFonts w:ascii="Calibri" w:hAnsi="Calibri"/>
                <w:sz w:val="22"/>
              </w:rPr>
              <w:t>Constructive into the print; $340 target implies modest upside from current levels</w:t>
            </w:r>
          </w:p>
        </w:tc>
      </w:tr>
      <w:tr>
        <w:tc>
          <w:tcPr>
            <w:tcW w:type="dxa" w:w="2880"/>
          </w:tcPr>
          <w:p>
            <w:r>
              <w:rPr>
                <w:rFonts w:ascii="Calibri" w:hAnsi="Calibri"/>
                <w:sz w:val="22"/>
              </w:rPr>
              <w:t>Jul 15, 2026</w:t>
            </w:r>
          </w:p>
        </w:tc>
        <w:tc>
          <w:tcPr>
            <w:tcW w:type="dxa" w:w="2880"/>
          </w:tcPr>
          <w:p>
            <w:r>
              <w:rPr>
                <w:rFonts w:ascii="Calibri" w:hAnsi="Calibri"/>
                <w:sz w:val="22"/>
              </w:rPr>
              <w:t>Barclays downgrades TRV to Underweight with $295 target on slowing growth and margin concerns</w:t>
            </w:r>
          </w:p>
        </w:tc>
        <w:tc>
          <w:tcPr>
            <w:tcW w:type="dxa" w:w="2880"/>
          </w:tcPr>
          <w:p>
            <w:r>
              <w:rPr>
                <w:rFonts w:ascii="Calibri" w:hAnsi="Calibri"/>
                <w:sz w:val="22"/>
              </w:rPr>
              <w:t>Third Sell-equivalent rating in one week; cluster of downgrades reflects consensus view that stock has run ahead of fundamentals</w:t>
            </w:r>
          </w:p>
        </w:tc>
      </w:tr>
    </w:tbl>
    <w:p>
      <w:r>
        <w:rPr>
          <w:rFonts w:ascii="Calibri" w:hAnsi="Calibri"/>
          <w:i/>
          <w:color w:val="525866"/>
          <w:sz w:val="22"/>
        </w:rPr>
        <w:t>Source: Public analyst rating data as of July 16, 2026.</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recent insider activity consists of </w:t>
      </w:r>
      <w:r>
        <w:rPr>
          <w:rFonts w:ascii="Calibri" w:hAnsi="Calibri"/>
          <w:b/>
          <w:color w:val="525866"/>
          <w:sz w:val="22"/>
        </w:rPr>
        <w:t>open-market sales by senior executives</w:t>
      </w:r>
      <w:r>
        <w:rPr>
          <w:rFonts w:ascii="Calibri" w:hAnsi="Calibri"/>
          <w:color w:val="525866"/>
          <w:sz w:val="22"/>
        </w:rPr>
        <w:t xml:space="preserve"> in the days immediately following the Q1 2026 earnings release — a pattern consistent with post-earnings liquidity events and not indicative of negative fundamental views, particularly given the strong Q1 beat and elevated stock price.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Filing Date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Insider</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Shares Owned After</w:t>
            </w:r>
          </w:p>
        </w:tc>
        <w:tc>
          <w:tcPr>
            <w:tcW w:type="dxa" w:w="1080"/>
            <w:shd w:val="clear" w:color="auto" w:fill="3B4259"/>
          </w:tcPr>
          <w:p>
            <w:r>
              <w:rPr>
                <w:rFonts w:ascii="Calibri" w:hAnsi="Calibri"/>
                <w:b/>
                <w:color w:val="FFFFFF"/>
                <w:sz w:val="22"/>
              </w:rPr>
              <w:t>10b5-1 Plan</w:t>
            </w:r>
          </w:p>
        </w:tc>
      </w:tr>
      <w:tr>
        <w:tc>
          <w:tcPr>
            <w:tcW w:type="dxa" w:w="1080"/>
          </w:tcPr>
          <w:p>
            <w:r>
              <w:rPr>
                <w:rFonts w:ascii="Calibri" w:hAnsi="Calibri"/>
                <w:sz w:val="22"/>
              </w:rPr>
              <w:t>Apr 29, 2026</w:t>
            </w:r>
          </w:p>
        </w:tc>
        <w:tc>
          <w:tcPr>
            <w:tcW w:type="dxa" w:w="1080"/>
          </w:tcPr>
          <w:p>
            <w:r>
              <w:rPr>
                <w:rFonts w:ascii="Calibri" w:hAnsi="Calibri"/>
                <w:sz w:val="22"/>
              </w:rPr>
              <w:t>Apr 28, 2026</w:t>
            </w:r>
          </w:p>
        </w:tc>
        <w:tc>
          <w:tcPr>
            <w:tcW w:type="dxa" w:w="1080"/>
          </w:tcPr>
          <w:p>
            <w:r>
              <w:rPr>
                <w:rFonts w:ascii="Calibri" w:hAnsi="Calibri"/>
                <w:sz w:val="22"/>
              </w:rPr>
              <w:t>Avrohom J. Kess</w:t>
            </w:r>
          </w:p>
        </w:tc>
        <w:tc>
          <w:tcPr>
            <w:tcW w:type="dxa" w:w="1080"/>
          </w:tcPr>
          <w:p>
            <w:r>
              <w:rPr>
                <w:rFonts w:ascii="Calibri" w:hAnsi="Calibri"/>
                <w:sz w:val="22"/>
              </w:rPr>
              <w:t>Vice Chairman &amp; Chief Legal Officer</w:t>
            </w:r>
          </w:p>
        </w:tc>
        <w:tc>
          <w:tcPr>
            <w:tcW w:type="dxa" w:w="1080"/>
          </w:tcPr>
          <w:p>
            <w:r>
              <w:rPr>
                <w:rFonts w:ascii="Calibri" w:hAnsi="Calibri"/>
                <w:b/>
                <w:color w:val="E5484D"/>
                <w:sz w:val="22"/>
              </w:rPr>
              <w:t>Sale (Disposition)</w:t>
            </w:r>
          </w:p>
        </w:tc>
        <w:tc>
          <w:tcPr>
            <w:tcW w:type="dxa" w:w="1080"/>
          </w:tcPr>
          <w:p>
            <w:r>
              <w:rPr>
                <w:rFonts w:ascii="Calibri" w:hAnsi="Calibri"/>
                <w:sz w:val="22"/>
              </w:rPr>
              <w:t>6,735</w:t>
            </w:r>
          </w:p>
        </w:tc>
        <w:tc>
          <w:tcPr>
            <w:tcW w:type="dxa" w:w="1080"/>
          </w:tcPr>
          <w:p>
            <w:r>
              <w:rPr>
                <w:rFonts w:ascii="Calibri" w:hAnsi="Calibri"/>
                <w:sz w:val="22"/>
              </w:rPr>
              <w:t>48,737</w:t>
            </w:r>
          </w:p>
        </w:tc>
        <w:tc>
          <w:tcPr>
            <w:tcW w:type="dxa" w:w="1080"/>
          </w:tcPr>
          <w:p>
            <w:r>
              <w:rPr>
                <w:rFonts w:ascii="Calibri" w:hAnsi="Calibri"/>
                <w:sz w:val="22"/>
              </w:rPr>
              <w:t>No</w:t>
            </w:r>
          </w:p>
        </w:tc>
      </w:tr>
      <w:tr>
        <w:tc>
          <w:tcPr>
            <w:tcW w:type="dxa" w:w="1080"/>
          </w:tcPr>
          <w:p>
            <w:r>
              <w:rPr>
                <w:rFonts w:ascii="Calibri" w:hAnsi="Calibri"/>
                <w:sz w:val="22"/>
              </w:rPr>
              <w:t>Apr 21, 2026</w:t>
            </w:r>
          </w:p>
        </w:tc>
        <w:tc>
          <w:tcPr>
            <w:tcW w:type="dxa" w:w="1080"/>
          </w:tcPr>
          <w:p>
            <w:r>
              <w:rPr>
                <w:rFonts w:ascii="Calibri" w:hAnsi="Calibri"/>
                <w:sz w:val="22"/>
              </w:rPr>
              <w:t>Apr 20, 2026</w:t>
            </w:r>
          </w:p>
        </w:tc>
        <w:tc>
          <w:tcPr>
            <w:tcW w:type="dxa" w:w="1080"/>
          </w:tcPr>
          <w:p>
            <w:r>
              <w:rPr>
                <w:rFonts w:ascii="Calibri" w:hAnsi="Calibri"/>
                <w:sz w:val="22"/>
              </w:rPr>
              <w:t>Michael Frederick Klein</w:t>
            </w:r>
          </w:p>
        </w:tc>
        <w:tc>
          <w:tcPr>
            <w:tcW w:type="dxa" w:w="1080"/>
          </w:tcPr>
          <w:p>
            <w:r>
              <w:rPr>
                <w:rFonts w:ascii="Calibri" w:hAnsi="Calibri"/>
                <w:sz w:val="22"/>
              </w:rPr>
              <w:t>EVP &amp; President, Personal Insurance</w:t>
            </w:r>
          </w:p>
        </w:tc>
        <w:tc>
          <w:tcPr>
            <w:tcW w:type="dxa" w:w="1080"/>
          </w:tcPr>
          <w:p>
            <w:r>
              <w:rPr>
                <w:rFonts w:ascii="Calibri" w:hAnsi="Calibri"/>
                <w:b/>
                <w:color w:val="E5484D"/>
                <w:sz w:val="22"/>
              </w:rPr>
              <w:t>Sale (Disposition)</w:t>
            </w:r>
          </w:p>
        </w:tc>
        <w:tc>
          <w:tcPr>
            <w:tcW w:type="dxa" w:w="1080"/>
          </w:tcPr>
          <w:p>
            <w:r>
              <w:rPr>
                <w:rFonts w:ascii="Calibri" w:hAnsi="Calibri"/>
                <w:sz w:val="22"/>
              </w:rPr>
              <w:t>10,000</w:t>
            </w:r>
          </w:p>
        </w:tc>
        <w:tc>
          <w:tcPr>
            <w:tcW w:type="dxa" w:w="1080"/>
          </w:tcPr>
          <w:p>
            <w:r>
              <w:rPr>
                <w:rFonts w:ascii="Calibri" w:hAnsi="Calibri"/>
                <w:sz w:val="22"/>
              </w:rPr>
              <w:t>45,125</w:t>
            </w:r>
          </w:p>
        </w:tc>
        <w:tc>
          <w:tcPr>
            <w:tcW w:type="dxa" w:w="1080"/>
          </w:tcPr>
          <w:p>
            <w:r>
              <w:rPr>
                <w:rFonts w:ascii="Calibri" w:hAnsi="Calibri"/>
                <w:sz w:val="22"/>
              </w:rPr>
              <w:t>No</w:t>
            </w:r>
          </w:p>
        </w:tc>
      </w:tr>
      <w:tr>
        <w:tc>
          <w:tcPr>
            <w:tcW w:type="dxa" w:w="1080"/>
          </w:tcPr>
          <w:p>
            <w:r>
              <w:rPr>
                <w:rFonts w:ascii="Calibri" w:hAnsi="Calibri"/>
                <w:sz w:val="22"/>
              </w:rPr>
              <w:t>Apr 21, 2026</w:t>
            </w:r>
          </w:p>
        </w:tc>
        <w:tc>
          <w:tcPr>
            <w:tcW w:type="dxa" w:w="1080"/>
          </w:tcPr>
          <w:p>
            <w:r>
              <w:rPr>
                <w:rFonts w:ascii="Calibri" w:hAnsi="Calibri"/>
                <w:sz w:val="22"/>
              </w:rPr>
              <w:t>Apr 20, 2026</w:t>
            </w:r>
          </w:p>
        </w:tc>
        <w:tc>
          <w:tcPr>
            <w:tcW w:type="dxa" w:w="1080"/>
          </w:tcPr>
          <w:p>
            <w:r>
              <w:rPr>
                <w:rFonts w:ascii="Calibri" w:hAnsi="Calibri"/>
                <w:sz w:val="22"/>
              </w:rPr>
              <w:t>Jeffrey P. Klenk</w:t>
            </w:r>
          </w:p>
        </w:tc>
        <w:tc>
          <w:tcPr>
            <w:tcW w:type="dxa" w:w="1080"/>
          </w:tcPr>
          <w:p>
            <w:r>
              <w:rPr>
                <w:rFonts w:ascii="Calibri" w:hAnsi="Calibri"/>
                <w:sz w:val="22"/>
              </w:rPr>
              <w:t>EVP &amp; President, Bond &amp; Specialty Insurance</w:t>
            </w:r>
          </w:p>
        </w:tc>
        <w:tc>
          <w:tcPr>
            <w:tcW w:type="dxa" w:w="1080"/>
          </w:tcPr>
          <w:p>
            <w:r>
              <w:rPr>
                <w:rFonts w:ascii="Calibri" w:hAnsi="Calibri"/>
                <w:b/>
                <w:color w:val="E5484D"/>
                <w:sz w:val="22"/>
              </w:rPr>
              <w:t>Sale (Disposition)</w:t>
            </w:r>
          </w:p>
        </w:tc>
        <w:tc>
          <w:tcPr>
            <w:tcW w:type="dxa" w:w="1080"/>
          </w:tcPr>
          <w:p>
            <w:r>
              <w:rPr>
                <w:rFonts w:ascii="Calibri" w:hAnsi="Calibri"/>
                <w:sz w:val="22"/>
              </w:rPr>
              <w:t>6,414</w:t>
            </w:r>
          </w:p>
        </w:tc>
        <w:tc>
          <w:tcPr>
            <w:tcW w:type="dxa" w:w="1080"/>
          </w:tcPr>
          <w:p>
            <w:r>
              <w:rPr>
                <w:rFonts w:ascii="Calibri" w:hAnsi="Calibri"/>
                <w:sz w:val="22"/>
              </w:rPr>
              <w:t>6,075</w:t>
            </w:r>
          </w:p>
        </w:tc>
        <w:tc>
          <w:tcPr>
            <w:tcW w:type="dxa" w:w="1080"/>
          </w:tcPr>
          <w:p>
            <w:r>
              <w:rPr>
                <w:rFonts w:ascii="Calibri" w:hAnsi="Calibri"/>
                <w:sz w:val="22"/>
              </w:rPr>
              <w:t>No</w:t>
            </w:r>
          </w:p>
        </w:tc>
      </w:tr>
      <w:tr>
        <w:tc>
          <w:tcPr>
            <w:tcW w:type="dxa" w:w="1080"/>
          </w:tcPr>
          <w:p>
            <w:r>
              <w:rPr>
                <w:rFonts w:ascii="Calibri" w:hAnsi="Calibri"/>
                <w:sz w:val="22"/>
              </w:rPr>
              <w:t>Apr 21, 2026</w:t>
            </w:r>
          </w:p>
        </w:tc>
        <w:tc>
          <w:tcPr>
            <w:tcW w:type="dxa" w:w="1080"/>
          </w:tcPr>
          <w:p>
            <w:r>
              <w:rPr>
                <w:rFonts w:ascii="Calibri" w:hAnsi="Calibri"/>
                <w:sz w:val="22"/>
              </w:rPr>
              <w:t>Apr 20, 2026</w:t>
            </w:r>
          </w:p>
        </w:tc>
        <w:tc>
          <w:tcPr>
            <w:tcW w:type="dxa" w:w="1080"/>
          </w:tcPr>
          <w:p>
            <w:r>
              <w:rPr>
                <w:rFonts w:ascii="Calibri" w:hAnsi="Calibri"/>
                <w:sz w:val="22"/>
              </w:rPr>
              <w:t>Diane Kurtzman</w:t>
            </w:r>
          </w:p>
        </w:tc>
        <w:tc>
          <w:tcPr>
            <w:tcW w:type="dxa" w:w="1080"/>
          </w:tcPr>
          <w:p>
            <w:r>
              <w:rPr>
                <w:rFonts w:ascii="Calibri" w:hAnsi="Calibri"/>
                <w:sz w:val="22"/>
              </w:rPr>
              <w:t>EVP &amp; Chief HR Officer</w:t>
            </w:r>
          </w:p>
        </w:tc>
        <w:tc>
          <w:tcPr>
            <w:tcW w:type="dxa" w:w="1080"/>
          </w:tcPr>
          <w:p>
            <w:r>
              <w:rPr>
                <w:rFonts w:ascii="Calibri" w:hAnsi="Calibri"/>
                <w:b/>
                <w:color w:val="E5484D"/>
                <w:sz w:val="22"/>
              </w:rPr>
              <w:t>Sale (Disposition)</w:t>
            </w:r>
          </w:p>
        </w:tc>
        <w:tc>
          <w:tcPr>
            <w:tcW w:type="dxa" w:w="1080"/>
          </w:tcPr>
          <w:p>
            <w:r>
              <w:rPr>
                <w:rFonts w:ascii="Calibri" w:hAnsi="Calibri"/>
                <w:sz w:val="22"/>
              </w:rPr>
              <w:t>2,867</w:t>
            </w:r>
          </w:p>
        </w:tc>
        <w:tc>
          <w:tcPr>
            <w:tcW w:type="dxa" w:w="1080"/>
          </w:tcPr>
          <w:p>
            <w:r>
              <w:rPr>
                <w:rFonts w:ascii="Calibri" w:hAnsi="Calibri"/>
                <w:sz w:val="22"/>
              </w:rPr>
              <w:t>5,298</w:t>
            </w:r>
          </w:p>
        </w:tc>
        <w:tc>
          <w:tcPr>
            <w:tcW w:type="dxa" w:w="1080"/>
          </w:tcPr>
          <w:p>
            <w:r>
              <w:rPr>
                <w:rFonts w:ascii="Calibri" w:hAnsi="Calibri"/>
                <w:sz w:val="22"/>
              </w:rPr>
              <w:t>No</w:t>
            </w:r>
          </w:p>
        </w:tc>
      </w:tr>
    </w:tbl>
    <w:p>
      <w:r>
        <w:rPr>
          <w:rFonts w:ascii="Calibri" w:hAnsi="Calibri"/>
          <w:i/>
          <w:color w:val="525866"/>
          <w:sz w:val="22"/>
        </w:rPr>
        <w:t>Source: SEC Form 4 Filings (Insider Transaction Data).</w:t>
      </w:r>
    </w:p>
    <w:p>
      <w:r>
        <w:rPr>
          <w:rFonts w:ascii="Calibri" w:hAnsi="Calibri"/>
          <w:color w:val="525866"/>
          <w:sz w:val="22"/>
        </w:rPr>
        <w:t>All four transactions occurred within 4 days of the Q1 2026 earnings release (April 16, 2026), a pattern typical of post-earnings trading windows opening after a blackout period. The sales are not on 10b5-1 pre-planned programs, but the timing — immediately post-earnings at elevated stock prices — is a common liquidity event for executives and should not be read as a negative signal on the fundamental outlook. Notably, all four insiders retain substantial positions after the sales, and the President of Personal Insurance (Klein) retaining 45,125 shares is consistent with confidence in the ongoing Personal Insurance growth strategy.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