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al-earnings-predictions--2026-07-16"/>
    <w:p>
      <w:pPr>
        <w:pStyle w:val="Heading1"/>
      </w:pPr>
      <w:r>
        <w:t xml:space="preserve">UAL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(guide)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~00 midpoint vs. cons ~$3.62 (Q3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10.00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9-</w:t>
            </w:r>
            <m:oMath>
              <m:r>
                <m:t>11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10.50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 q3/Q4 TRASM (unit-revenue)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TRASM accel to &gt;+12.1% vs. cons ~+10% (Q3/Q4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Fuel-cost recapture cadence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~80-90% Q3 &amp; 100% Q4 vs. prior ~70-80% &amp; 85-100%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Q2 was a clean beat ($1.99 vs</w:t>
            </w:r>
            <w:r>
              <w:t xml:space="preserve"> </w:t>
            </w:r>
            <m:oMath>
              <m:r>
                <m:t>1.85</m:t>
              </m:r>
              <m:r>
                <m:rPr>
                  <m:sty m:val="p"/>
                </m:rPr>
                <m:t>)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s</m:t>
              </m:r>
              <m:r>
                <m:t>t</m:t>
              </m:r>
              <m:r>
                <m:t>r</m:t>
              </m:r>
              <m:r>
                <m:t>o</m:t>
              </m:r>
              <m:r>
                <m:t>n</m:t>
              </m:r>
              <m:r>
                <m:t>g</m:t>
              </m:r>
              <m:r>
                <m:t>T</m:t>
              </m:r>
              <m:r>
                <m:t>R</m:t>
              </m:r>
              <m:r>
                <m:t>A</m:t>
              </m:r>
              <m:r>
                <m:t>S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12.1</m:t>
              </m:r>
            </m:oMath>
            <w:r>
              <w:t xml:space="preserve">3.00 sits ~17% below the Street's ~$3.62 and the raised FY midpoint of</w:t>
            </w:r>
            <w:r>
              <w:t xml:space="preserve"> </w:t>
            </w:r>
            <m:oMath>
              <m:r>
                <m:t>10.00</m:t>
              </m:r>
              <m:r>
                <m:t>i</m:t>
              </m:r>
              <m:r>
                <m:t>s</m:t>
              </m:r>
              <m:r>
                <m:t>s</m:t>
              </m:r>
              <m:r>
                <m:t>t</m:t>
              </m:r>
              <m:r>
                <m:t>i</m:t>
              </m:r>
              <m:r>
                <m:t>l</m:t>
              </m:r>
              <m:r>
                <m:t>l</m:t>
              </m:r>
              <m:r>
                <m:t>b</m:t>
              </m:r>
              <m:r>
                <m:t>e</m:t>
              </m:r>
              <m:r>
                <m:t>l</m:t>
              </m:r>
              <m:r>
                <m:t>o</m:t>
              </m:r>
              <m:r>
                <m:t>w</m:t>
              </m:r>
              <m:r>
                <m:t> </m:t>
              </m:r>
            </m:oMath>
            <w:r>
              <w:t xml:space="preserve">10.50 consensus, driven by a ~</w:t>
            </w:r>
            <m:oMath>
              <m:r>
                <m:t>575</m:t>
              </m:r>
              <m:r>
                <m:t>M</m:t>
              </m:r>
              <m:r>
                <m:rPr>
                  <m:sty m:val="p"/>
                </m:rPr>
                <m:t>/</m:t>
              </m:r>
            </m:oMath>
            <w:r>
              <w:t xml:space="preserve">1.12 EPS early-July fuel spike. Sell-side cuts Q3/FY estimates even after the beat, pressuring the stock; the 'above high end if fuel normalizes' caveat and accelerating RASM cap downside but do not offset the near-term EPS reductions, so initial weakness follows through over the week. Fuel-price volatility is the swing factor.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2026-07-16T01:25:16Z</dcterms:created>
  <dcterms:modified xsi:type="dcterms:W3CDTF">2026-07-16T01:25:16Z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