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UAL before writing the preview. Let me start by gathering recent earnings materials, guidance, and news.I see there's already a 2026Q2 earnings release dated 2026-07-15 in the system. Since you've framed this as a</w:t>
      </w:r>
      <w:r>
        <w:t xml:space="preserve"> </w:t>
      </w:r>
      <w:r>
        <w:rPr>
          <w:i/>
          <w:iCs/>
        </w:rPr>
        <w:t xml:space="preserve">preview</w:t>
      </w:r>
      <w:r>
        <w:t xml:space="preserve"> </w:t>
      </w:r>
      <w:r>
        <w:t xml:space="preserve">ahead of tomorrow's report, I'll write a forward-looking preview based on information available</w:t>
      </w:r>
      <w:r>
        <w:t xml:space="preserve"> </w:t>
      </w:r>
      <w:r>
        <w:rPr>
          <w:i/>
          <w:iCs/>
        </w:rPr>
        <w:t xml:space="preserve">before</w:t>
      </w:r>
      <w:r>
        <w:t xml:space="preserve"> </w:t>
      </w:r>
      <w:r>
        <w:t xml:space="preserve">the results — prior-quarter guidance, trends, consensus, and the macro/industry backdrop — rather than the just-released actuals. Let me dig into the key source material.Let me pull the stock price trend and check for a Delta read-through (Delta typically reports first and sets the tone).I have strong material. Let me quickly confirm the year-ago Q2 2025 baseline for growth context.I now have what I need. Here's my preview.</w:t>
      </w:r>
    </w:p>
    <w:p>
      <w:r>
        <w:pict>
          <v:rect style="width:0;height:1.5pt" o:hralign="center" o:hrstd="t" o:hr="t"/>
        </w:pict>
      </w:r>
    </w:p>
    <w:bookmarkStart w:id="16" w:name="X143826f835a5f78b62dda1806f19296e468443f"/>
    <w:p>
      <w:pPr>
        <w:pStyle w:val="Heading1"/>
      </w:pPr>
      <w:r>
        <w:t xml:space="preserve">United Airlines (UAL) — Q2 2026 Earnings Preview</w:t>
      </w:r>
    </w:p>
    <w:bookmarkStart w:id="9" w:name="Xbcf8749116c9dfff90b5d28664e98dd25da01be"/>
    <w:p>
      <w:pPr>
        <w:pStyle w:val="Heading3"/>
      </w:pPr>
      <w:r>
        <w:t xml:space="preserve">Results after the close July 15; conference call 10:30 a.m. ET, Thursday, July 16, 2026</w:t>
      </w:r>
    </w:p>
    <w:bookmarkEnd w:id="9"/>
    <w:bookmarkStart w:id="10" w:name="X06e525caca379374267f7f1794401cfdbed7863"/>
    <w:p>
      <w:pPr>
        <w:pStyle w:val="Heading2"/>
      </w:pPr>
      <w:r>
        <w:t xml:space="preserve">The one thing that matters: fuel pass-through</w:t>
      </w:r>
    </w:p>
    <w:p>
      <w:pPr>
        <w:pStyle w:val="FirstParagraph"/>
      </w:pPr>
      <w:r>
        <w:t xml:space="preserve">This is a fuel-shock quarter, and the entire report should be read through that lens. The conflict with Iran and the disruption around the Strait of Hormuz sent crude sharply higher and, more importantly, blew out refining crack spreads — so jet fuel has roughly</w:t>
      </w:r>
      <w:r>
        <w:t xml:space="preserve"> </w:t>
      </w:r>
      <w:r>
        <w:rPr>
          <w:b/>
          <w:bCs/>
        </w:rPr>
        <w:t xml:space="preserve">doubled</w:t>
      </w:r>
      <w:r>
        <w:t xml:space="preserve"> </w:t>
      </w:r>
      <w:r>
        <w:t xml:space="preserve">versus the pre-war baseline. On the Q1 call in April, management framed the whole year around one goal: recapturing 100% of the fuel cost increase as fast as possible via higher fares, while trimming unprofitable flying. CFO Mike Leskinen laid out an explicit recapture cadence:</w:t>
      </w:r>
    </w:p>
    <w:p>
      <w:pPr>
        <w:pStyle w:val="Compact"/>
        <w:numPr>
          <w:ilvl w:val="0"/>
          <w:numId w:val="1001"/>
        </w:numPr>
      </w:pPr>
      <w:r>
        <w:rPr>
          <w:b/>
          <w:bCs/>
        </w:rPr>
        <w:t xml:space="preserve">Q2 2026: 40–50%</w:t>
      </w:r>
      <w:r>
        <w:t xml:space="preserve"> </w:t>
      </w:r>
      <w:r>
        <w:t xml:space="preserve">of the increased fuel cost recovered</w:t>
      </w:r>
    </w:p>
    <w:p>
      <w:pPr>
        <w:pStyle w:val="Compact"/>
        <w:numPr>
          <w:ilvl w:val="0"/>
          <w:numId w:val="1001"/>
        </w:numPr>
      </w:pPr>
      <w:r>
        <w:rPr>
          <w:b/>
          <w:bCs/>
        </w:rPr>
        <w:t xml:space="preserve">Q3 2026: 70–80%</w:t>
      </w:r>
    </w:p>
    <w:p>
      <w:pPr>
        <w:pStyle w:val="Compact"/>
        <w:numPr>
          <w:ilvl w:val="0"/>
          <w:numId w:val="1001"/>
        </w:numPr>
      </w:pPr>
      <w:r>
        <w:rPr>
          <w:b/>
          <w:bCs/>
        </w:rPr>
        <w:t xml:space="preserve">Q4 2026: 85–100%</w:t>
      </w:r>
    </w:p>
    <w:p>
      <w:pPr>
        <w:pStyle w:val="FirstParagraph"/>
      </w:pPr>
      <w:r>
        <w:t xml:space="preserve">So Q2 is, by design, the</w:t>
      </w:r>
      <w:r>
        <w:t xml:space="preserve"> </w:t>
      </w:r>
      <w:r>
        <w:rPr>
          <w:b/>
          <w:bCs/>
        </w:rPr>
        <w:t xml:space="preserve">trough</w:t>
      </w:r>
      <w:r>
        <w:t xml:space="preserve"> </w:t>
      </w:r>
      <w:r>
        <w:t xml:space="preserve">of the recapture curve. The question for the call is not whether earnings fell year-on-year (they will, sharply) but whether the pass-through is tracking</w:t>
      </w:r>
      <w:r>
        <w:t xml:space="preserve"> </w:t>
      </w:r>
      <w:r>
        <w:rPr>
          <w:b/>
          <w:bCs/>
        </w:rPr>
        <w:t xml:space="preserve">ahead of</w:t>
      </w:r>
      <w:r>
        <w:t xml:space="preserve"> </w:t>
      </w:r>
      <w:r>
        <w:t xml:space="preserve">that April roadmap.</w:t>
      </w:r>
    </w:p>
    <w:bookmarkEnd w:id="10"/>
    <w:bookmarkStart w:id="11" w:name="whats-guided-vs-what-the-street-expects"/>
    <w:p>
      <w:pPr>
        <w:pStyle w:val="Heading2"/>
      </w:pPr>
      <w:r>
        <w:t xml:space="preserve">What's guided vs. what the Street expects</w:t>
      </w:r>
    </w:p>
    <w:p>
      <w:pPr>
        <w:pStyle w:val="FirstParagraph"/>
      </w:pPr>
      <w:r>
        <w:t xml:space="preserve">United's own Q2 guidance was</w:t>
      </w:r>
      <w:r>
        <w:t xml:space="preserve"> </w:t>
      </w:r>
      <w:r>
        <w:rPr>
          <w:b/>
          <w:bCs/>
        </w:rPr>
        <w:t xml:space="preserve">EPS of</w:t>
      </w:r>
      <w:r>
        <w:rPr>
          <w:b/>
          <w:bCs/>
        </w:rPr>
        <w:t xml:space="preserve"> </w:t>
      </w:r>
      <m:oMath>
        <m:r>
          <m:t>1.00</m:t>
        </m:r>
        <m:r>
          <m:rPr>
            <m:sty m:val="p"/>
          </m:rPr>
          <m:t>–</m:t>
        </m:r>
      </m:oMath>
      <w:r>
        <w:rPr>
          <w:b/>
          <w:bCs/>
        </w:rPr>
        <w:t xml:space="preserve">2.00</w:t>
      </w:r>
      <w:r>
        <w:t xml:space="preserve"> </w:t>
      </w:r>
      <w:r>
        <w:t xml:space="preserve">(roughly</w:t>
      </w:r>
      <w:r>
        <w:t xml:space="preserve"> </w:t>
      </w:r>
      <m:oMath>
        <m:r>
          <m:t>1.50</m:t>
        </m:r>
        <m:r>
          <m:t>m</m:t>
        </m:r>
        <m:r>
          <m:t>i</m:t>
        </m:r>
        <m:r>
          <m:t>d</m:t>
        </m:r>
        <m:r>
          <m:t>p</m:t>
        </m:r>
        <m:r>
          <m:t>o</m:t>
        </m:r>
        <m:r>
          <m:t>i</m:t>
        </m:r>
        <m:r>
          <m:t>n</m:t>
        </m:r>
        <m:r>
          <m:t>t</m:t>
        </m:r>
        <m:r>
          <m:rPr>
            <m:sty m:val="p"/>
          </m:rPr>
          <m:t>)</m:t>
        </m:r>
        <m:r>
          <m:rPr>
            <m:sty m:val="p"/>
          </m:rPr>
          <m:t>,</m:t>
        </m:r>
        <m:r>
          <m:t>a</m:t>
        </m:r>
        <m:r>
          <m:t>n</m:t>
        </m:r>
        <m:r>
          <m:t>c</m:t>
        </m:r>
        <m:r>
          <m:t>h</m:t>
        </m:r>
        <m:r>
          <m:t>o</m:t>
        </m:r>
        <m:r>
          <m:t>r</m:t>
        </m:r>
        <m:r>
          <m:t>e</m:t>
        </m:r>
        <m:r>
          <m:t>d</m:t>
        </m:r>
        <m:r>
          <m:t>o</m:t>
        </m:r>
        <m:r>
          <m:t>n</m:t>
        </m:r>
        <m:r>
          <m:t>a</m:t>
        </m:r>
        <m:r>
          <m:t>n</m:t>
        </m:r>
        <m:r>
          <m:t>a</m:t>
        </m:r>
        <m:r>
          <m:t>l</m:t>
        </m:r>
        <m:r>
          <m:t>l</m:t>
        </m:r>
        <m:r>
          <m:rPr>
            <m:sty m:val="p"/>
          </m:rPr>
          <m:t>−</m:t>
        </m:r>
        <m:r>
          <m:t>i</m:t>
        </m:r>
        <m:r>
          <m:t>n</m:t>
        </m:r>
        <m:r>
          <m:t>f</m:t>
        </m:r>
        <m:r>
          <m:t>u</m:t>
        </m:r>
        <m:r>
          <m:t>e</m:t>
        </m:r>
        <m:r>
          <m:t>l</m:t>
        </m:r>
        <m:r>
          <m:t>p</m:t>
        </m:r>
        <m:r>
          <m:t>r</m:t>
        </m:r>
        <m:r>
          <m:t>i</m:t>
        </m:r>
        <m:r>
          <m:t>c</m:t>
        </m:r>
        <m:r>
          <m:t>e</m:t>
        </m:r>
        <m:r>
          <m:t>o</m:t>
        </m:r>
        <m:r>
          <m:t>f</m:t>
        </m:r>
        <m:r>
          <m:rPr>
            <m:sty m:val="p"/>
          </m:rPr>
          <m:t>*</m:t>
        </m:r>
        <m:r>
          <m:rPr>
            <m:sty m:val="p"/>
          </m:rPr>
          <m:t>*</m:t>
        </m:r>
        <m:r>
          <m:t> </m:t>
        </m:r>
      </m:oMath>
      <w:r>
        <w:t xml:space="preserve">4.30/gallon**, with</w:t>
      </w:r>
      <w:r>
        <w:t xml:space="preserve"> </w:t>
      </w:r>
      <w:r>
        <w:rPr>
          <w:b/>
          <w:bCs/>
        </w:rPr>
        <w:t xml:space="preserve">double-digit RASM growth</w:t>
      </w:r>
      <w:r>
        <w:t xml:space="preserve">. Consensus has crept up toward</w:t>
      </w:r>
      <w:r>
        <w:t xml:space="preserve"> </w:t>
      </w:r>
      <w:r>
        <w:rPr>
          <w:b/>
          <w:bCs/>
        </w:rPr>
        <w:t xml:space="preserve">~</w:t>
      </w:r>
      <m:oMath>
        <m:r>
          <m:t>1.85</m:t>
        </m:r>
        <m:r>
          <m:rPr>
            <m:sty m:val="p"/>
          </m:rPr>
          <m:t>*</m:t>
        </m:r>
        <m:r>
          <m:rPr>
            <m:sty m:val="p"/>
          </m:rPr>
          <m:t>*</m:t>
        </m:r>
        <m:r>
          <m:rPr>
            <m:sty m:val="p"/>
          </m:rPr>
          <m:t>—</m:t>
        </m:r>
        <m:r>
          <m:t>a</m:t>
        </m:r>
        <m:r>
          <m:t>b</m:t>
        </m:r>
        <m:r>
          <m:t>o</m:t>
        </m:r>
        <m:r>
          <m:t>v</m:t>
        </m:r>
        <m:r>
          <m:t>e</m:t>
        </m:r>
        <m:r>
          <m:t>U</m:t>
        </m:r>
        <m:r>
          <m:t>n</m:t>
        </m:r>
        <m:r>
          <m:t>i</m:t>
        </m:r>
        <m:r>
          <m:t>t</m:t>
        </m:r>
        <m:r>
          <m:t>e</m:t>
        </m:r>
        <m:sSup>
          <m:e>
            <m:r>
              <m:t>d</m:t>
            </m:r>
          </m:e>
          <m:sup>
            <m:r>
              <m:rPr>
                <m:sty m:val="p"/>
              </m:rPr>
              <m:t>′</m:t>
            </m:r>
          </m:sup>
        </m:sSup>
        <m:r>
          <m:t>s</m:t>
        </m:r>
        <m:r>
          <m:t>o</m:t>
        </m:r>
        <m:r>
          <m:t>w</m:t>
        </m:r>
        <m:r>
          <m:t>n</m:t>
        </m:r>
        <m:r>
          <m:t>m</m:t>
        </m:r>
        <m:r>
          <m:t>i</m:t>
        </m:r>
        <m:r>
          <m:t>d</m:t>
        </m:r>
        <m:r>
          <m:t>p</m:t>
        </m:r>
        <m:r>
          <m:t>o</m:t>
        </m:r>
        <m:r>
          <m:t>i</m:t>
        </m:r>
        <m:r>
          <m:t>n</m:t>
        </m:r>
        <m:r>
          <m:t>t</m:t>
        </m:r>
        <m:r>
          <m:rPr>
            <m:sty m:val="p"/>
          </m:rPr>
          <m:t>—</m:t>
        </m:r>
        <m:r>
          <m:t>r</m:t>
        </m:r>
        <m:r>
          <m:t>e</m:t>
        </m:r>
        <m:r>
          <m:t>f</m:t>
        </m:r>
        <m:r>
          <m:t>l</m:t>
        </m:r>
        <m:r>
          <m:t>e</m:t>
        </m:r>
        <m:r>
          <m:t>c</m:t>
        </m:r>
        <m:r>
          <m:t>t</m:t>
        </m:r>
        <m:r>
          <m:t>i</m:t>
        </m:r>
        <m:r>
          <m:t>n</m:t>
        </m:r>
        <m:r>
          <m:t>g</m:t>
        </m:r>
        <m:r>
          <m:t>i</m:t>
        </m:r>
        <m:r>
          <m:t>m</m:t>
        </m:r>
        <m:r>
          <m:t>p</m:t>
        </m:r>
        <m:r>
          <m:t>r</m:t>
        </m:r>
        <m:r>
          <m:t>o</m:t>
        </m:r>
        <m:r>
          <m:t>v</m:t>
        </m:r>
        <m:r>
          <m:t>i</m:t>
        </m:r>
        <m:r>
          <m:t>n</m:t>
        </m:r>
        <m:r>
          <m:t>g</m:t>
        </m:r>
        <m:r>
          <m:t>f</m:t>
        </m:r>
        <m:r>
          <m:t>u</m:t>
        </m:r>
        <m:r>
          <m:t>e</m:t>
        </m:r>
        <m:r>
          <m:t>l</m:t>
        </m:r>
        <m:r>
          <m:t>a</m:t>
        </m:r>
        <m:r>
          <m:t>n</m:t>
        </m:r>
        <m:r>
          <m:t>d</m:t>
        </m:r>
        <m:r>
          <m:t>a</m:t>
        </m:r>
        <m:r>
          <m:t>s</m:t>
        </m:r>
        <m:r>
          <m:t>t</m:t>
        </m:r>
        <m:r>
          <m:t>r</m:t>
        </m:r>
        <m:r>
          <m:t>o</m:t>
        </m:r>
        <m:r>
          <m:t>n</m:t>
        </m:r>
        <m:r>
          <m:t>g</m:t>
        </m:r>
        <m:r>
          <m:t>r</m:t>
        </m:r>
        <m:r>
          <m:t>e</m:t>
        </m:r>
        <m:r>
          <m:t>a</m:t>
        </m:r>
        <m:r>
          <m:t>d</m:t>
        </m:r>
        <m:r>
          <m:t>f</m:t>
        </m:r>
        <m:r>
          <m:t>r</m:t>
        </m:r>
        <m:r>
          <m:t>o</m:t>
        </m:r>
        <m:r>
          <m:t>m</m:t>
        </m:r>
        <m:r>
          <m:t>D</m:t>
        </m:r>
        <m:r>
          <m:t>e</m:t>
        </m:r>
        <m:r>
          <m:t>l</m:t>
        </m:r>
        <m:r>
          <m:t>t</m:t>
        </m:r>
        <m:r>
          <m:t>a</m:t>
        </m:r>
        <m:r>
          <m:rPr>
            <m:sty m:val="p"/>
          </m:rPr>
          <m:t>.</m:t>
        </m:r>
        <m:r>
          <m:t>F</m:t>
        </m:r>
        <m:r>
          <m:t>o</m:t>
        </m:r>
        <m:r>
          <m:t>r</m:t>
        </m:r>
        <m:r>
          <m:t>t</m:t>
        </m:r>
        <m:r>
          <m:t>h</m:t>
        </m:r>
        <m:r>
          <m:t>e</m:t>
        </m:r>
        <m:r>
          <m:t>f</m:t>
        </m:r>
        <m:r>
          <m:t>u</m:t>
        </m:r>
        <m:r>
          <m:t>l</m:t>
        </m:r>
        <m:r>
          <m:t>l</m:t>
        </m:r>
        <m:r>
          <m:t>y</m:t>
        </m:r>
        <m:r>
          <m:t>e</m:t>
        </m:r>
        <m:r>
          <m:t>a</m:t>
        </m:r>
        <m:r>
          <m:t>r</m:t>
        </m:r>
        <m:r>
          <m:rPr>
            <m:sty m:val="p"/>
          </m:rPr>
          <m:t>,</m:t>
        </m:r>
        <m:r>
          <m:t>U</m:t>
        </m:r>
        <m:r>
          <m:t>n</m:t>
        </m:r>
        <m:r>
          <m:t>i</m:t>
        </m:r>
        <m:r>
          <m:t>t</m:t>
        </m:r>
        <m:r>
          <m:t>e</m:t>
        </m:r>
        <m:r>
          <m:t>d</m:t>
        </m:r>
        <m:r>
          <m:t>g</m:t>
        </m:r>
        <m:r>
          <m:t>a</m:t>
        </m:r>
        <m:r>
          <m:t>v</m:t>
        </m:r>
        <m:r>
          <m:t>e</m:t>
        </m:r>
        <m:r>
          <m:t>a</m:t>
        </m:r>
        <m:r>
          <m:t>n</m:t>
        </m:r>
        <m:r>
          <m:t>u</m:t>
        </m:r>
        <m:r>
          <m:t>n</m:t>
        </m:r>
        <m:r>
          <m:t>u</m:t>
        </m:r>
        <m:r>
          <m:t>s</m:t>
        </m:r>
        <m:r>
          <m:t>u</m:t>
        </m:r>
        <m:r>
          <m:t>a</m:t>
        </m:r>
        <m:r>
          <m:t>l</m:t>
        </m:r>
        <m:r>
          <m:t>l</m:t>
        </m:r>
        <m:r>
          <m:t>y</m:t>
        </m:r>
        <m:r>
          <m:t>w</m:t>
        </m:r>
        <m:r>
          <m:t>i</m:t>
        </m:r>
        <m:r>
          <m:t>d</m:t>
        </m:r>
        <m:r>
          <m:t>e</m:t>
        </m:r>
        <m:r>
          <m:rPr>
            <m:sty m:val="p"/>
          </m:rPr>
          <m:t>*</m:t>
        </m:r>
        <m:r>
          <m:rPr>
            <m:sty m:val="p"/>
          </m:rPr>
          <m:t>*</m:t>
        </m:r>
      </m:oMath>
      <w:r>
        <w:rPr>
          <w:b/>
          <w:bCs/>
        </w:rPr>
        <w:t xml:space="preserve">7–$11 EPS</w:t>
      </w:r>
      <w:r>
        <w:t xml:space="preserve"> </w:t>
      </w:r>
      <w:r>
        <w:t xml:space="preserve">range to encompass "multiple scenarios," with the explicit rule of thumb: upper half if fuel keeps falling, lower half if it re-escalates.</w:t>
      </w:r>
    </w:p>
    <w:p>
      <w:pPr>
        <w:pStyle w:val="BodyText"/>
      </w:pPr>
      <w:r>
        <w:rPr>
          <w:b/>
          <w:bCs/>
        </w:rPr>
        <w:t xml:space="preserve">Year-ago baseline (Q2 2025) for context:</w:t>
      </w:r>
      <w:r>
        <w:t xml:space="preserve"> </w:t>
      </w:r>
      <w:r>
        <w:t xml:space="preserve">adjusted EPS of</w:t>
      </w:r>
      <w:r>
        <w:t xml:space="preserve"> </w:t>
      </w:r>
      <m:oMath>
        <m:r>
          <m:t>3.87</m:t>
        </m:r>
        <m:r>
          <m:rPr>
            <m:sty m:val="p"/>
          </m:rPr>
          <m:t>*</m:t>
        </m:r>
        <m:r>
          <m:rPr>
            <m:sty m:val="p"/>
          </m:rPr>
          <m:t>*</m:t>
        </m:r>
        <m:r>
          <m:rPr>
            <m:sty m:val="p"/>
          </m:rPr>
          <m:t>,</m:t>
        </m:r>
        <m:r>
          <m:t>r</m:t>
        </m:r>
        <m:r>
          <m:t>e</m:t>
        </m:r>
        <m:r>
          <m:t>v</m:t>
        </m:r>
        <m:r>
          <m:t>e</m:t>
        </m:r>
        <m:r>
          <m:t>n</m:t>
        </m:r>
        <m:r>
          <m:t>u</m:t>
        </m:r>
        <m:r>
          <m:t>e</m:t>
        </m:r>
        <m:r>
          <m:t>o</m:t>
        </m:r>
        <m:r>
          <m:t>f</m:t>
        </m:r>
        <m:r>
          <m:rPr>
            <m:sty m:val="p"/>
          </m:rPr>
          <m:t>*</m:t>
        </m:r>
        <m:r>
          <m:rPr>
            <m:sty m:val="p"/>
          </m:rPr>
          <m:t>*</m:t>
        </m:r>
      </m:oMath>
      <w:r>
        <w:rPr>
          <w:b/>
          <w:bCs/>
        </w:rPr>
        <w:t xml:space="preserve">15.2B</w:t>
      </w:r>
      <w:r>
        <w:t xml:space="preserve">, an</w:t>
      </w:r>
      <w:r>
        <w:t xml:space="preserve"> </w:t>
      </w:r>
      <w:r>
        <w:rPr>
          <w:b/>
          <w:bCs/>
        </w:rPr>
        <w:t xml:space="preserve">11.0% adjusted pre-tax margin</w:t>
      </w:r>
      <w:r>
        <w:t xml:space="preserve">, on fuel of just **</w:t>
      </w:r>
      <m:oMath>
        <m:r>
          <m:t>2.34</m:t>
        </m:r>
        <m:r>
          <m:rPr>
            <m:sty m:val="p"/>
          </m:rPr>
          <m:t>/</m:t>
        </m:r>
        <m:r>
          <m:t>g</m:t>
        </m:r>
        <m:r>
          <m:t>a</m:t>
        </m:r>
        <m:r>
          <m:t>l</m:t>
        </m:r>
        <m:r>
          <m:t>l</m:t>
        </m:r>
        <m:r>
          <m:t>o</m:t>
        </m:r>
        <m:r>
          <m:t>n</m:t>
        </m:r>
        <m:r>
          <m:rPr>
            <m:sty m:val="p"/>
          </m:rPr>
          <m:t>*</m:t>
        </m:r>
        <m:r>
          <m:rPr>
            <m:sty m:val="p"/>
          </m:rPr>
          <m:t>*</m:t>
        </m:r>
        <m:r>
          <m:rPr>
            <m:sty m:val="p"/>
          </m:rPr>
          <m:t>.</m:t>
        </m:r>
        <m:r>
          <m:t>T</m:t>
        </m:r>
        <m:r>
          <m:t>h</m:t>
        </m:r>
        <m:r>
          <m:t>e</m:t>
        </m:r>
        <m:r>
          <m:t>s</m:t>
        </m:r>
        <m:r>
          <m:t>t</m:t>
        </m:r>
        <m:r>
          <m:t>e</m:t>
        </m:r>
        <m:r>
          <m:t>e</m:t>
        </m:r>
        <m:r>
          <m:t>p</m:t>
        </m:r>
        <m:r>
          <m:t>Y</m:t>
        </m:r>
        <m:r>
          <m:t>o</m:t>
        </m:r>
        <m:r>
          <m:t>Y</m:t>
        </m:r>
        <m:r>
          <m:t>E</m:t>
        </m:r>
        <m:r>
          <m:t>P</m:t>
        </m:r>
        <m:r>
          <m:t>S</m:t>
        </m:r>
        <m:r>
          <m:t>d</m:t>
        </m:r>
        <m:r>
          <m:t>e</m:t>
        </m:r>
        <m:r>
          <m:t>c</m:t>
        </m:r>
        <m:r>
          <m:t>l</m:t>
        </m:r>
        <m:r>
          <m:t>i</m:t>
        </m:r>
        <m:r>
          <m:t>n</m:t>
        </m:r>
        <m:r>
          <m:t>e</m:t>
        </m:r>
        <m:r>
          <m:rPr>
            <m:sty m:val="p"/>
          </m:rPr>
          <m:t>(</m:t>
        </m:r>
        <m:r>
          <m:t>g</m:t>
        </m:r>
        <m:r>
          <m:t>u</m:t>
        </m:r>
        <m:r>
          <m:t>i</m:t>
        </m:r>
        <m:r>
          <m:t>d</m:t>
        </m:r>
        <m:r>
          <m:t>e</m:t>
        </m:r>
        <m:r>
          <m:t>m</m:t>
        </m:r>
        <m:r>
          <m:t>i</m:t>
        </m:r>
        <m:r>
          <m:t>d</m:t>
        </m:r>
        <m:r>
          <m:t>p</m:t>
        </m:r>
        <m:r>
          <m:t>o</m:t>
        </m:r>
        <m:r>
          <m:t>i</m:t>
        </m:r>
        <m:r>
          <m:t>n</m:t>
        </m:r>
        <m:r>
          <m:t>t</m:t>
        </m:r>
        <m:r>
          <m:t> </m:t>
        </m:r>
      </m:oMath>
      <w:r>
        <w:t xml:space="preserve">1.50 vs. $3.87) is almost entirely the fuel bill — underlying demand and unit revenue are actually strong. Watch the adjusted pre-tax margin: management wants to show it can hold a respectable margin even at the bottom of the recapture cycle.</w:t>
      </w:r>
    </w:p>
    <w:bookmarkEnd w:id="11"/>
    <w:bookmarkStart w:id="12" w:name="the-delta-read-through-is-bullish"/>
    <w:p>
      <w:pPr>
        <w:pStyle w:val="Heading2"/>
      </w:pPr>
      <w:r>
        <w:t xml:space="preserve">The Delta read-through is bullish</w:t>
      </w:r>
    </w:p>
    <w:p>
      <w:pPr>
        <w:pStyle w:val="FirstParagraph"/>
      </w:pPr>
      <w:r>
        <w:t xml:space="preserve">Delta reported July 10 and set a high bar:</w:t>
      </w:r>
    </w:p>
    <w:p>
      <w:pPr>
        <w:pStyle w:val="Compact"/>
        <w:numPr>
          <w:ilvl w:val="0"/>
          <w:numId w:val="1002"/>
        </w:numPr>
      </w:pPr>
      <w:r>
        <w:rPr>
          <w:b/>
          <w:bCs/>
        </w:rPr>
        <w:t xml:space="preserve">Q2 beat</w:t>
      </w:r>
      <w:r>
        <w:t xml:space="preserve"> </w:t>
      </w:r>
      <w:r>
        <w:t xml:space="preserve">(</w:t>
      </w:r>
      <m:oMath>
        <m:r>
          <m:t>1.56</m:t>
        </m:r>
        <m:r>
          <m:t>v</m:t>
        </m:r>
        <m:r>
          <m:t>s</m:t>
        </m:r>
        <m:r>
          <m:rPr>
            <m:sty m:val="p"/>
          </m:rPr>
          <m:t>.</m:t>
        </m:r>
        <m:r>
          <m:t> </m:t>
        </m:r>
      </m:oMath>
      <w:r>
        <w:t xml:space="preserve">1.51), and — critically — Delta said it</w:t>
      </w:r>
      <w:r>
        <w:t xml:space="preserve"> </w:t>
      </w:r>
      <w:r>
        <w:rPr>
          <w:b/>
          <w:bCs/>
        </w:rPr>
        <w:t xml:space="preserve">recovered ~60% of its fuel-cost increase in Q2, faster than historical</w:t>
      </w:r>
      <w:r>
        <w:t xml:space="preserve">, versus United's guided 40–50%.</w:t>
      </w:r>
    </w:p>
    <w:p>
      <w:pPr>
        <w:pStyle w:val="Compact"/>
        <w:numPr>
          <w:ilvl w:val="0"/>
          <w:numId w:val="1002"/>
        </w:numPr>
      </w:pPr>
      <w:r>
        <w:t xml:space="preserve">Delta</w:t>
      </w:r>
      <w:r>
        <w:t xml:space="preserve"> </w:t>
      </w:r>
      <w:r>
        <w:rPr>
          <w:b/>
          <w:bCs/>
        </w:rPr>
        <w:t xml:space="preserve">reaffirmed FY EPS of</w:t>
      </w:r>
      <w:r>
        <w:rPr>
          <w:b/>
          <w:bCs/>
        </w:rPr>
        <w:t xml:space="preserve"> </w:t>
      </w:r>
      <m:oMath>
        <m:r>
          <m:t>6.50</m:t>
        </m:r>
        <m:r>
          <m:rPr>
            <m:sty m:val="p"/>
          </m:rPr>
          <m:t>–</m:t>
        </m:r>
      </m:oMath>
      <w:r>
        <w:rPr>
          <w:b/>
          <w:bCs/>
        </w:rPr>
        <w:t xml:space="preserve">7.50</w:t>
      </w:r>
      <w:r>
        <w:t xml:space="preserve"> </w:t>
      </w:r>
      <w:r>
        <w:t xml:space="preserve">($7 midpoint, ~17% above consensus) and guided</w:t>
      </w:r>
      <w:r>
        <w:t xml:space="preserve"> </w:t>
      </w:r>
      <w:r>
        <w:rPr>
          <w:b/>
          <w:bCs/>
        </w:rPr>
        <w:t xml:space="preserve">Q3 above the Street</w:t>
      </w:r>
      <w:r>
        <w:t xml:space="preserve">.</w:t>
      </w:r>
    </w:p>
    <w:p>
      <w:pPr>
        <w:pStyle w:val="Compact"/>
        <w:numPr>
          <w:ilvl w:val="0"/>
          <w:numId w:val="1002"/>
        </w:numPr>
      </w:pPr>
      <w:r>
        <w:t xml:space="preserve">Delta posted</w:t>
      </w:r>
      <w:r>
        <w:t xml:space="preserve"> </w:t>
      </w:r>
      <w:r>
        <w:rPr>
          <w:b/>
          <w:bCs/>
        </w:rPr>
        <w:t xml:space="preserve">~14% revenue growth on ~1% capacity</w:t>
      </w:r>
      <w:r>
        <w:t xml:space="preserve">, PRASM</w:t>
      </w:r>
      <w:r>
        <w:t xml:space="preserve"> </w:t>
      </w:r>
      <w:r>
        <w:rPr>
          <w:b/>
          <w:bCs/>
        </w:rPr>
        <w:t xml:space="preserve">+11%</w:t>
      </w:r>
      <w:r>
        <w:t xml:space="preserve">, premium</w:t>
      </w:r>
      <w:r>
        <w:t xml:space="preserve"> </w:t>
      </w:r>
      <w:r>
        <w:rPr>
          <w:b/>
          <w:bCs/>
        </w:rPr>
        <w:t xml:space="preserve">+17%</w:t>
      </w:r>
      <w:r>
        <w:t xml:space="preserve">, and management called international demand "very healthy," with fares still ~10–15% below post-COVID inflation — i.e., room to keep pushing price.</w:t>
      </w:r>
    </w:p>
    <w:p>
      <w:pPr>
        <w:pStyle w:val="FirstParagraph"/>
      </w:pPr>
      <w:r>
        <w:t xml:space="preserve">If Delta recovered 60% of fuel in Q2, expectations are set for United to at least</w:t>
      </w:r>
      <w:r>
        <w:t xml:space="preserve"> </w:t>
      </w:r>
      <w:r>
        <w:rPr>
          <w:b/>
          <w:bCs/>
        </w:rPr>
        <w:t xml:space="preserve">beat the top of its own 40–50% recapture range</w:t>
      </w:r>
      <w:r>
        <w:t xml:space="preserve">. A recapture number that starts with a "5" or "6" would be the cleanest positive surprise; anything at or below 40% would raise questions about United's pricing power relative to Delta.</w:t>
      </w:r>
    </w:p>
    <w:bookmarkEnd w:id="12"/>
    <w:bookmarkStart w:id="13" w:name="key-things-to-watch-on-the-call"/>
    <w:p>
      <w:pPr>
        <w:pStyle w:val="Heading2"/>
      </w:pPr>
      <w:r>
        <w:t xml:space="preserve">Key things to watch on the call</w:t>
      </w:r>
    </w:p>
    <w:p>
      <w:pPr>
        <w:pStyle w:val="FirstParagraph"/>
      </w:pPr>
      <w:r>
        <w:rPr>
          <w:b/>
          <w:bCs/>
        </w:rPr>
        <w:t xml:space="preserve">1. Demand elasticity — the "ECON 101" test.</w:t>
      </w:r>
      <w:r>
        <w:t xml:space="preserve"> </w:t>
      </w:r>
      <w:r>
        <w:t xml:space="preserve">Kirby's thesis is that fares must rise ~15–20% to fully offset fuel, and that some demand destruction "should" follow — but United hadn't seen it as of April. In fact, selling yields were</w:t>
      </w:r>
      <w:r>
        <w:t xml:space="preserve"> </w:t>
      </w:r>
      <w:r>
        <w:rPr>
          <w:b/>
          <w:bCs/>
        </w:rPr>
        <w:t xml:space="preserve">+20% YoY</w:t>
      </w:r>
      <w:r>
        <w:t xml:space="preserve">, and</w:t>
      </w:r>
      <w:r>
        <w:t xml:space="preserve"> </w:t>
      </w:r>
      <w:r>
        <w:rPr>
          <w:b/>
          <w:bCs/>
        </w:rPr>
        <w:t xml:space="preserve">business revenue was tracking +25%</w:t>
      </w:r>
      <w:r>
        <w:t xml:space="preserve">. The single most important data point Thursday: are those yield gains holding into late summer, and is there</w:t>
      </w:r>
      <w:r>
        <w:t xml:space="preserve"> </w:t>
      </w:r>
      <w:r>
        <w:rPr>
          <w:i/>
          <w:iCs/>
        </w:rPr>
        <w:t xml:space="preserve">any</w:t>
      </w:r>
      <w:r>
        <w:t xml:space="preserve"> </w:t>
      </w:r>
      <w:r>
        <w:t xml:space="preserve">sign of the leisure elasticity Kirby has been warning about?</w:t>
      </w:r>
    </w:p>
    <w:p>
      <w:pPr>
        <w:pStyle w:val="BodyText"/>
      </w:pPr>
      <w:r>
        <w:rPr>
          <w:b/>
          <w:bCs/>
        </w:rPr>
        <w:t xml:space="preserve">2. Capacity discipline.</w:t>
      </w:r>
      <w:r>
        <w:t xml:space="preserve"> </w:t>
      </w:r>
      <w:r>
        <w:t xml:space="preserve">United cut ~5 points of planned capacity, targeting</w:t>
      </w:r>
      <w:r>
        <w:t xml:space="preserve"> </w:t>
      </w:r>
      <w:r>
        <w:rPr>
          <w:b/>
          <w:bCs/>
        </w:rPr>
        <w:t xml:space="preserve">flat to +2%</w:t>
      </w:r>
      <w:r>
        <w:t xml:space="preserve"> </w:t>
      </w:r>
      <w:r>
        <w:t xml:space="preserve">in H2, pulling marginal off-peak flying (red-eyes, Tuesdays/Wednesdays/Saturdays) plus Tel Aviv/Dubai. Expect the trade-off to show up as</w:t>
      </w:r>
      <w:r>
        <w:t xml:space="preserve"> </w:t>
      </w:r>
      <w:r>
        <w:rPr>
          <w:b/>
          <w:bCs/>
        </w:rPr>
        <w:t xml:space="preserve">elevated CASM-ex</w:t>
      </w:r>
      <w:r>
        <w:t xml:space="preserve"> </w:t>
      </w:r>
      <w:r>
        <w:t xml:space="preserve">(Q1 CASM-ex was +5.9%) — management has been explicit it will not manage to unit cost in this environment. Listen for whether capacity gets cut</w:t>
      </w:r>
      <w:r>
        <w:t xml:space="preserve"> </w:t>
      </w:r>
      <w:r>
        <w:rPr>
          <w:i/>
          <w:iCs/>
        </w:rPr>
        <w:t xml:space="preserve">further</w:t>
      </w:r>
      <w:r>
        <w:t xml:space="preserve"> </w:t>
      </w:r>
      <w:r>
        <w:t xml:space="preserve">for 2027 if fuel stays high.</w:t>
      </w:r>
    </w:p>
    <w:p>
      <w:pPr>
        <w:pStyle w:val="BodyText"/>
      </w:pPr>
      <w:r>
        <w:rPr>
          <w:b/>
          <w:bCs/>
        </w:rPr>
        <w:t xml:space="preserve">3. The 2027 double-digit margin target.</w:t>
      </w:r>
      <w:r>
        <w:t xml:space="preserve"> </w:t>
      </w:r>
      <w:r>
        <w:t xml:space="preserve">Kirby reiterated a</w:t>
      </w:r>
      <w:r>
        <w:t xml:space="preserve"> </w:t>
      </w:r>
      <w:r>
        <w:rPr>
          <w:b/>
          <w:bCs/>
        </w:rPr>
        <w:t xml:space="preserve">≥10% pre-tax margin target for 2027</w:t>
      </w:r>
      <w:r>
        <w:t xml:space="preserve"> </w:t>
      </w:r>
      <w:r>
        <w:t xml:space="preserve">and floated the idea that fare increases could "stick" — his guess was ~20% retention if fuel normalized to February levels, trending toward 80% the longer the shock lasts. Any firming of the 2027 framework is the real long-term catalyst.</w:t>
      </w:r>
    </w:p>
    <w:p>
      <w:pPr>
        <w:pStyle w:val="BodyText"/>
      </w:pPr>
      <w:r>
        <w:rPr>
          <w:b/>
          <w:bCs/>
        </w:rPr>
        <w:t xml:space="preserve">4. International vs. domestic.</w:t>
      </w:r>
      <w:r>
        <w:t xml:space="preserve"> </w:t>
      </w:r>
      <w:r>
        <w:t xml:space="preserve">A surprise from Q1: international pricing/recapture is running</w:t>
      </w:r>
      <w:r>
        <w:t xml:space="preserve"> </w:t>
      </w:r>
      <w:r>
        <w:rPr>
          <w:b/>
          <w:bCs/>
        </w:rPr>
        <w:t xml:space="preserve">ahead of domestic</w:t>
      </w:r>
      <w:r>
        <w:t xml:space="preserve">, particularly transatlantic and transpacific premium. United went into summer with long-haul capacity roughly flat/down YoY — a favorable setup. Watch the Pacific and Atlantic PRASM prints.</w:t>
      </w:r>
    </w:p>
    <w:p>
      <w:pPr>
        <w:pStyle w:val="BodyText"/>
      </w:pPr>
      <w:r>
        <w:rPr>
          <w:b/>
          <w:bCs/>
        </w:rPr>
        <w:t xml:space="preserve">5. The Newark comp.</w:t>
      </w:r>
      <w:r>
        <w:t xml:space="preserve"> </w:t>
      </w:r>
      <w:r>
        <w:t xml:space="preserve">United is now</w:t>
      </w:r>
      <w:r>
        <w:t xml:space="preserve"> </w:t>
      </w:r>
      <w:r>
        <w:rPr>
          <w:b/>
          <w:bCs/>
        </w:rPr>
        <w:t xml:space="preserve">lapping</w:t>
      </w:r>
      <w:r>
        <w:t xml:space="preserve"> </w:t>
      </w:r>
      <w:r>
        <w:t xml:space="preserve">last year's Newark disruption headwind, which should make its YoY comps easier than peers' for the back half.</w:t>
      </w:r>
    </w:p>
    <w:p>
      <w:pPr>
        <w:pStyle w:val="BodyText"/>
      </w:pPr>
      <w:r>
        <w:rPr>
          <w:b/>
          <w:bCs/>
        </w:rPr>
        <w:t xml:space="preserve">6. Balance sheet / path to investment grade.</w:t>
      </w:r>
      <w:r>
        <w:t xml:space="preserve"> </w:t>
      </w:r>
      <w:r>
        <w:t xml:space="preserve">United paid down</w:t>
      </w:r>
      <w:r>
        <w:t xml:space="preserve"> </w:t>
      </w:r>
      <w:r>
        <w:rPr>
          <w:b/>
          <w:bCs/>
        </w:rPr>
        <w:t xml:space="preserve">$3.1B</w:t>
      </w:r>
      <w:r>
        <w:t xml:space="preserve"> </w:t>
      </w:r>
      <w:r>
        <w:t xml:space="preserve">of debt in Q1, returned to the unsecured bond market for the first time since 2019 (below 5% coupons), sits at</w:t>
      </w:r>
      <w:r>
        <w:t xml:space="preserve"> </w:t>
      </w:r>
      <w:r>
        <w:rPr>
          <w:b/>
          <w:bCs/>
        </w:rPr>
        <w:t xml:space="preserve">~2.0x net leverage</w:t>
      </w:r>
      <w:r>
        <w:t xml:space="preserve"> </w:t>
      </w:r>
      <w:r>
        <w:t xml:space="preserve">with its best credit rating in ~30 years, and reiterated it will reach investment grade "in all scenarios." Note that free cash conversion is pressured while fuel is elevated, and buybacks have stayed modest as IG takes priority.</w:t>
      </w:r>
    </w:p>
    <w:bookmarkEnd w:id="13"/>
    <w:bookmarkStart w:id="14" w:name="secondary-storylines"/>
    <w:p>
      <w:pPr>
        <w:pStyle w:val="Heading2"/>
      </w:pPr>
      <w:r>
        <w:t xml:space="preserve">Secondary storylines</w:t>
      </w:r>
    </w:p>
    <w:p>
      <w:pPr>
        <w:pStyle w:val="Compact"/>
        <w:numPr>
          <w:ilvl w:val="0"/>
          <w:numId w:val="1003"/>
        </w:numPr>
      </w:pPr>
      <w:r>
        <w:rPr>
          <w:b/>
          <w:bCs/>
        </w:rPr>
        <w:t xml:space="preserve">Commercial initiatives ramping:</w:t>
      </w:r>
      <w:r>
        <w:t xml:space="preserve"> </w:t>
      </w:r>
      <w:r>
        <w:t xml:space="preserve">the "nested selling" website overhaul,</w:t>
      </w:r>
      <w:r>
        <w:t xml:space="preserve"> </w:t>
      </w:r>
      <w:r>
        <w:rPr>
          <w:b/>
          <w:bCs/>
        </w:rPr>
        <w:t xml:space="preserve">base fares in premium cabins</w:t>
      </w:r>
      <w:r>
        <w:t xml:space="preserve">, A321XLR/Coastliner lie-flat narrow-bodies (including a new</w:t>
      </w:r>
      <w:r>
        <w:t xml:space="preserve"> </w:t>
      </w:r>
      <w:r>
        <w:rPr>
          <w:b/>
          <w:bCs/>
        </w:rPr>
        <w:t xml:space="preserve">paid empty-middle-seat upsell</w:t>
      </w:r>
      <w:r>
        <w:t xml:space="preserve"> </w:t>
      </w:r>
      <w:r>
        <w:t xml:space="preserve">on XLRs announced July 14), Relax Row, and MileagePlus changes. Management calls these collectively worth "hundreds of millions" and the foundation for eventual</w:t>
      </w:r>
      <w:r>
        <w:t xml:space="preserve"> </w:t>
      </w:r>
      <w:r>
        <w:rPr>
          <w:b/>
          <w:bCs/>
        </w:rPr>
        <w:t xml:space="preserve">mid-teens margins</w:t>
      </w:r>
      <w:r>
        <w:t xml:space="preserve">. Any early revenue data would be incremental positive.</w:t>
      </w:r>
    </w:p>
    <w:p>
      <w:pPr>
        <w:pStyle w:val="Compact"/>
        <w:numPr>
          <w:ilvl w:val="0"/>
          <w:numId w:val="1003"/>
        </w:numPr>
      </w:pPr>
      <w:r>
        <w:rPr>
          <w:b/>
          <w:bCs/>
        </w:rPr>
        <w:t xml:space="preserve">MileagePlus/Chase co-brand:</w:t>
      </w:r>
      <w:r>
        <w:t xml:space="preserve"> </w:t>
      </w:r>
      <w:r>
        <w:t xml:space="preserve">United is making unilateral loyalty changes now and hinted a</w:t>
      </w:r>
      <w:r>
        <w:t xml:space="preserve"> </w:t>
      </w:r>
      <w:r>
        <w:rPr>
          <w:b/>
          <w:bCs/>
        </w:rPr>
        <w:t xml:space="preserve">renegotiated Chase contract</w:t>
      </w:r>
      <w:r>
        <w:t xml:space="preserve"> </w:t>
      </w:r>
      <w:r>
        <w:t xml:space="preserve">is coming ("not tomorrow, but not that far off"). A renewal announcement would be a needle-mover.</w:t>
      </w:r>
    </w:p>
    <w:p>
      <w:pPr>
        <w:pStyle w:val="Compact"/>
        <w:numPr>
          <w:ilvl w:val="0"/>
          <w:numId w:val="1003"/>
        </w:numPr>
      </w:pPr>
      <w:r>
        <w:rPr>
          <w:b/>
          <w:bCs/>
        </w:rPr>
        <w:t xml:space="preserve">Chicago O'Hare FAA cap:</w:t>
      </w:r>
      <w:r>
        <w:t xml:space="preserve"> </w:t>
      </w:r>
      <w:r>
        <w:t xml:space="preserve">an FAA order limiting summer O'Hare operations constrains growth; watch for detail on compliance/impact.</w:t>
      </w:r>
    </w:p>
    <w:p>
      <w:pPr>
        <w:pStyle w:val="Compact"/>
        <w:numPr>
          <w:ilvl w:val="0"/>
          <w:numId w:val="1003"/>
        </w:numPr>
      </w:pPr>
      <w:r>
        <w:rPr>
          <w:b/>
          <w:bCs/>
        </w:rPr>
        <w:t xml:space="preserve">Labor:</w:t>
      </w:r>
      <w:r>
        <w:t xml:space="preserve"> </w:t>
      </w:r>
      <w:r>
        <w:t xml:space="preserve">the AFA flight attendant tentative agreement went to a vote concluding May 12 — confirmation of ratification (and its cost) is worth noting.</w:t>
      </w:r>
    </w:p>
    <w:p>
      <w:pPr>
        <w:pStyle w:val="Compact"/>
        <w:numPr>
          <w:ilvl w:val="0"/>
          <w:numId w:val="1003"/>
        </w:numPr>
      </w:pPr>
      <w:r>
        <w:rPr>
          <w:b/>
          <w:bCs/>
        </w:rPr>
        <w:t xml:space="preserve">The "C-word" (consolidation) and Kirby's global-brand ambitions:</w:t>
      </w:r>
      <w:r>
        <w:t xml:space="preserve"> </w:t>
      </w:r>
      <w:r>
        <w:t xml:space="preserve">Kirby has been vocal about building a larger global brand to capture flows currently going to Middle East/Asia carriers. He's declined to comment on specific M&amp;A rumors — expect the question again, and expect a non-answer, but the framing matters for the long-term story.</w:t>
      </w:r>
    </w:p>
    <w:bookmarkEnd w:id="14"/>
    <w:bookmarkStart w:id="15" w:name="stock-setup"/>
    <w:p>
      <w:pPr>
        <w:pStyle w:val="Heading2"/>
      </w:pPr>
      <w:r>
        <w:t xml:space="preserve">Stock setup</w:t>
      </w:r>
    </w:p>
    <w:p>
      <w:pPr>
        <w:pStyle w:val="FirstParagraph"/>
      </w:pPr>
      <w:r>
        <w:t xml:space="preserve">UAL has been a volatile ride in 2026: it opened the year around</w:t>
      </w:r>
      <w:r>
        <w:t xml:space="preserve"> </w:t>
      </w:r>
      <m:oMath>
        <m:r>
          <m:t>113</m:t>
        </m:r>
        <m:r>
          <m:rPr>
            <m:sty m:val="p"/>
          </m:rPr>
          <m:t>*</m:t>
        </m:r>
        <m:r>
          <m:rPr>
            <m:sty m:val="p"/>
          </m:rPr>
          <m:t>*</m:t>
        </m:r>
        <m:r>
          <m:rPr>
            <m:sty m:val="p"/>
          </m:rPr>
          <m:t>,</m:t>
        </m:r>
        <m:r>
          <m:t>c</m:t>
        </m:r>
        <m:r>
          <m:t>r</m:t>
        </m:r>
        <m:r>
          <m:t>a</m:t>
        </m:r>
        <m:r>
          <m:t>t</m:t>
        </m:r>
        <m:r>
          <m:t>e</m:t>
        </m:r>
        <m:r>
          <m:t>r</m:t>
        </m:r>
        <m:r>
          <m:t>e</m:t>
        </m:r>
        <m:r>
          <m:t>d</m:t>
        </m:r>
        <m:r>
          <m:t>t</m:t>
        </m:r>
        <m:r>
          <m:t>o</m:t>
        </m:r>
        <m:r>
          <m:t>t</m:t>
        </m:r>
        <m:r>
          <m:t>h</m:t>
        </m:r>
        <m:r>
          <m:t>e</m:t>
        </m:r>
        <m:r>
          <m:rPr>
            <m:sty m:val="p"/>
          </m:rPr>
          <m:t>*</m:t>
        </m:r>
        <m:r>
          <m:rPr>
            <m:sty m:val="p"/>
          </m:rPr>
          <m:t>*</m:t>
        </m:r>
        <m:r>
          <m:t>m</m:t>
        </m:r>
        <m:r>
          <m:t>i</m:t>
        </m:r>
        <m:r>
          <m:t>d</m:t>
        </m:r>
        <m:r>
          <m:rPr>
            <m:sty m:val="p"/>
          </m:rPr>
          <m:t>−</m:t>
        </m:r>
      </m:oMath>
      <w:r>
        <w:rPr>
          <w:b/>
          <w:bCs/>
        </w:rPr>
        <w:t xml:space="preserve">80s</w:t>
      </w:r>
      <w:r>
        <w:t xml:space="preserve"> </w:t>
      </w:r>
      <w:r>
        <w:t xml:space="preserve">in mid-March on the fuel shock, ripped back to a peak of</w:t>
      </w:r>
      <w:r>
        <w:t xml:space="preserve"> </w:t>
      </w:r>
      <w:r>
        <w:rPr>
          <w:b/>
          <w:bCs/>
        </w:rPr>
        <w:t xml:space="preserve">~</w:t>
      </w:r>
      <m:oMath>
        <m:r>
          <m:t>136</m:t>
        </m:r>
        <m:r>
          <m:rPr>
            <m:sty m:val="p"/>
          </m:rPr>
          <m:t>*</m:t>
        </m:r>
        <m:r>
          <m:rPr>
            <m:sty m:val="p"/>
          </m:rPr>
          <m:t>*</m:t>
        </m:r>
        <m:r>
          <m:t>i</m:t>
        </m:r>
        <m:r>
          <m:t>n</m:t>
        </m:r>
        <m:r>
          <m:t>l</m:t>
        </m:r>
        <m:r>
          <m:t>a</m:t>
        </m:r>
        <m:r>
          <m:t>t</m:t>
        </m:r>
        <m:r>
          <m:t>e</m:t>
        </m:r>
        <m:r>
          <m:t>J</m:t>
        </m:r>
        <m:r>
          <m:t>u</m:t>
        </m:r>
        <m:r>
          <m:t>n</m:t>
        </m:r>
        <m:r>
          <m:t>e</m:t>
        </m:r>
        <m:r>
          <m:t>a</m:t>
        </m:r>
        <m:r>
          <m:t>s</m:t>
        </m:r>
        <m:r>
          <m:t>f</m:t>
        </m:r>
        <m:r>
          <m:t>u</m:t>
        </m:r>
        <m:r>
          <m:t>e</m:t>
        </m:r>
        <m:r>
          <m:t>l</m:t>
        </m:r>
        <m:r>
          <m:t>f</m:t>
        </m:r>
        <m:r>
          <m:t>e</m:t>
        </m:r>
        <m:r>
          <m:t>a</m:t>
        </m:r>
        <m:r>
          <m:t>r</m:t>
        </m:r>
        <m:r>
          <m:t>s</m:t>
        </m:r>
        <m:r>
          <m:t>e</m:t>
        </m:r>
        <m:r>
          <m:t>a</m:t>
        </m:r>
        <m:r>
          <m:t>s</m:t>
        </m:r>
        <m:r>
          <m:t>e</m:t>
        </m:r>
        <m:r>
          <m:t>d</m:t>
        </m:r>
        <m:r>
          <m:rPr>
            <m:sty m:val="p"/>
          </m:rPr>
          <m:t>,</m:t>
        </m:r>
        <m:r>
          <m:t>t</m:t>
        </m:r>
        <m:r>
          <m:t>h</m:t>
        </m:r>
        <m:r>
          <m:t>e</m:t>
        </m:r>
        <m:r>
          <m:t>n</m:t>
        </m:r>
        <m:r>
          <m:t>p</m:t>
        </m:r>
        <m:r>
          <m:t>u</m:t>
        </m:r>
        <m:r>
          <m:t>l</m:t>
        </m:r>
        <m:r>
          <m:t>l</m:t>
        </m:r>
        <m:r>
          <m:t>e</m:t>
        </m:r>
        <m:r>
          <m:t>d</m:t>
        </m:r>
        <m:r>
          <m:t>b</m:t>
        </m:r>
        <m:r>
          <m:t>a</m:t>
        </m:r>
        <m:r>
          <m:t>c</m:t>
        </m:r>
        <m:r>
          <m:t>k</m:t>
        </m:r>
        <m:r>
          <m:t>t</m:t>
        </m:r>
        <m:r>
          <m:t>o</m:t>
        </m:r>
        <m:r>
          <m:rPr>
            <m:sty m:val="p"/>
          </m:rPr>
          <m:t>*</m:t>
        </m:r>
        <m:r>
          <m:rPr>
            <m:sty m:val="p"/>
          </m:rPr>
          <m:t>*</m:t>
        </m:r>
        <m:r>
          <m:t> </m:t>
        </m:r>
      </m:oMath>
      <w:r>
        <w:rPr>
          <w:b/>
          <w:bCs/>
        </w:rPr>
        <w:t xml:space="preserve">121</w:t>
      </w:r>
      <w:r>
        <w:t xml:space="preserve"> </w:t>
      </w:r>
      <w:r>
        <w:t xml:space="preserve">into the print — roughly</w:t>
      </w:r>
      <w:r>
        <w:t xml:space="preserve"> </w:t>
      </w:r>
      <w:r>
        <w:rPr>
          <w:b/>
          <w:bCs/>
        </w:rPr>
        <w:t xml:space="preserve">+7% YTD</w:t>
      </w:r>
      <w:r>
        <w:t xml:space="preserve"> </w:t>
      </w:r>
      <w:r>
        <w:t xml:space="preserve">but with huge amplitude. The stock is essentially trading on the fuel/recapture narrative. With Delta having already de-risked the demand story and reaffirmed a strong outlook, the bar is now:</w:t>
      </w:r>
      <w:r>
        <w:t xml:space="preserve"> </w:t>
      </w:r>
      <w:r>
        <w:rPr>
          <w:b/>
          <w:bCs/>
        </w:rPr>
        <w:t xml:space="preserve">beat the guided Q2 recapture pace, show demand elasticity is still not biting, and lean into the FY range's upper half.</w:t>
      </w:r>
      <w:r>
        <w:t xml:space="preserve"> </w:t>
      </w:r>
      <w:r>
        <w:t xml:space="preserve">Given the wide</w:t>
      </w:r>
      <w:r>
        <w:t xml:space="preserve"> </w:t>
      </w:r>
      <m:oMath>
        <m:r>
          <m:t>7</m:t>
        </m:r>
        <m:r>
          <m:rPr>
            <m:sty m:val="p"/>
          </m:rPr>
          <m:t>–</m:t>
        </m:r>
      </m:oMath>
      <w:r>
        <w:t xml:space="preserve">11 full-year guide, the market's focus will be less on the exact Q2 number and more on</w:t>
      </w:r>
      <w:r>
        <w:t xml:space="preserve"> </w:t>
      </w:r>
      <w:r>
        <w:rPr>
          <w:b/>
          <w:bCs/>
        </w:rPr>
        <w:t xml:space="preserve">whether United narrows and raises that range</w:t>
      </w:r>
      <w:r>
        <w:t xml:space="preserve"> </w:t>
      </w:r>
      <w:r>
        <w:t xml:space="preserve">— and how confidently it defends the 2027 double-digit-margin target.</w:t>
      </w:r>
    </w:p>
    <w:p>
      <w:r>
        <w:pict>
          <v:rect style="width:0;height:1.5pt" o:hralign="center" o:hrstd="t" o:hr="t"/>
        </w:pict>
      </w:r>
    </w:p>
    <w:p>
      <w:pPr>
        <w:pStyle w:val="FirstParagraph"/>
      </w:pPr>
      <w:r>
        <w:rPr>
          <w:i/>
          <w:iCs/>
        </w:rPr>
        <w:t xml:space="preserve">Note on sourcing: This preview deliberately uses only information available going into the report — United's Q1 2026 call and guidance, its Q2 2025 baseline, Delta's July 10 results as an industry read-through, the fuel/geopolitical backdrop, and consensus expectations. I did not incorporate United's actual Q2 2026 figures, even though the release crossed after Wednesday's close, so this reads as a genuine forward-looking preview.</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2026-07-16T01:25:16Z</dcterms:created>
  <dcterms:modified xsi:type="dcterms:W3CDTF">2026-07-16T01:25:16Z</dcterms:modified>
</cp:coreProperties>
</file>

<file path=docProps/custom.xml><?xml version="1.0" encoding="utf-8"?>
<Properties xmlns="http://schemas.openxmlformats.org/officeDocument/2006/custom-properties" xmlns:vt="http://schemas.openxmlformats.org/officeDocument/2006/docPropsVTypes"/>
</file>