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45fe6d607869ed98820cc514e3a4bc4fa50542c"/>
    <w:p>
      <w:pPr>
        <w:pStyle w:val="Heading1"/>
      </w:pPr>
      <w:r>
        <w:t xml:space="preserve">United Airlines Holdings (UAL) — Earnings Call Preview</w:t>
      </w:r>
    </w:p>
    <w:bookmarkStart w:id="9" w:name="Xacf60b2aa2ef4f9b391ad24636c4fe86234393b"/>
    <w:p>
      <w:pPr>
        <w:pStyle w:val="Heading3"/>
      </w:pPr>
      <w:r>
        <w:t xml:space="preserve">Ahead of the 2026Q2 Earnings Call — Thursday, July 16, 2026, 10:30 a.m. ET</w:t>
      </w:r>
    </w:p>
    <w:p>
      <w:pPr>
        <w:pStyle w:val="FirstParagraph"/>
      </w:pPr>
      <w:r>
        <w:rPr>
          <w:b/>
          <w:bCs/>
        </w:rPr>
        <w:t xml:space="preserve">Note on timing:</w:t>
      </w:r>
      <w:r>
        <w:t xml:space="preserve"> </w:t>
      </w:r>
      <w:r>
        <w:t xml:space="preserve">United actually released its Q2 2026 financial results and an Investor Update on the afternoon of July 15. The conference call — where management will field analyst questions and add color on the outlook — takes place tomorrow morning. This preview recaps what's already on the tape and flags what to watch for when Scott Kirby and CFO leadership take questions.</w:t>
      </w:r>
    </w:p>
    <w:p>
      <w:r>
        <w:pict>
          <v:rect style="width:0;height:1.5pt" o:hralign="center" o:hrstd="t" o:hr="t"/>
        </w:pict>
      </w:r>
    </w:p>
    <w:bookmarkEnd w:id="9"/>
    <w:bookmarkStart w:id="10" w:name="X741a62a88ebeeffd8de8cab4bb25e711733750c"/>
    <w:p>
      <w:pPr>
        <w:pStyle w:val="Heading2"/>
      </w:pPr>
      <w:r>
        <w:t xml:space="preserve">1. The Setup: A Quarter Defined by an Oil Shock</w:t>
      </w:r>
    </w:p>
    <w:p>
      <w:pPr>
        <w:pStyle w:val="FirstParagraph"/>
      </w:pPr>
      <w:r>
        <w:t xml:space="preserve">The dominant storyline into this print has been geopolitics, not passenger demand. Renewed U.S.-Iran conflict around the Strait of Hormuz sent Brent crude sharply higher in early July after a "ceasefire" broke down, and airline stocks — UAL included — sold off hard on fears of a fuel-cost spike. UAL shares round-tripped from roughly $92 in early May to a peak near $136 in late June (on de-escalation optimism) before sliding back to the $120–121 range heading into this print as tensions flared again. That volatility is the backdrop against which Q2 results and guidance need to be read.</w:t>
      </w:r>
    </w:p>
    <w:p>
      <w:pPr>
        <w:pStyle w:val="BodyText"/>
      </w:pPr>
      <w:r>
        <w:t xml:space="preserve">Peer read-throughs have been constructive: Delta kicked off the sector on July 10 with an EPS beat and a bullish Q3/full-year outlook, and management there argued that fuel costs (up ~50% due to the Iran conflict) are being absorbed by resilient premium and corporate demand rather than curbing pricing power. That set a fairly high bar for United.</w:t>
      </w:r>
    </w:p>
    <w:bookmarkEnd w:id="10"/>
    <w:bookmarkStart w:id="11" w:name="X77b308db4b483798784f96174268a96c782c7cc"/>
    <w:p>
      <w:pPr>
        <w:pStyle w:val="Heading2"/>
      </w:pPr>
      <w:r>
        <w:t xml:space="preserve">2. What United Already Reported (Q2 2026, released July 15)</w:t>
      </w:r>
    </w:p>
    <w:p>
      <w:pPr>
        <w:pStyle w:val="FirstParagraph"/>
      </w:pPr>
      <w:r>
        <w:t xml:space="preserve">United posted a</w:t>
      </w:r>
      <w:r>
        <w:t xml:space="preserve"> </w:t>
      </w:r>
      <w:r>
        <w:rPr>
          <w:b/>
          <w:bCs/>
        </w:rPr>
        <w:t xml:space="preserve">beat-and-raise</w:t>
      </w:r>
      <w:r>
        <w:t xml:space="preserve"> </w:t>
      </w:r>
      <w:r>
        <w:t xml:space="preserve">quarter, but with a notable wrinkle: the outlook for the current quarter (Q3) came in below Street expectations.</w:t>
      </w:r>
    </w:p>
    <w:p>
      <w:pPr>
        <w:pStyle w:val="BodyText"/>
      </w:pPr>
      <w:r>
        <w:rPr>
          <w:b/>
          <w:bCs/>
        </w:rPr>
        <w:t xml:space="preserve">Headline numbers:</w:t>
      </w:r>
    </w:p>
    <w:p>
      <w:pPr>
        <w:pStyle w:val="Compact"/>
        <w:numPr>
          <w:ilvl w:val="0"/>
          <w:numId w:val="1001"/>
        </w:numPr>
      </w:pPr>
      <w:r>
        <w:t xml:space="preserve">Adjusted EPS of **</w:t>
      </w:r>
      <m:oMath>
        <m:r>
          <m:t>1.99</m:t>
        </m:r>
        <m:r>
          <m:rPr>
            <m:sty m:val="p"/>
          </m:rPr>
          <m:t>*</m:t>
        </m:r>
        <m:r>
          <m:rPr>
            <m:sty m:val="p"/>
          </m:rPr>
          <m:t>*</m:t>
        </m:r>
        <m:r>
          <m:rPr>
            <m:sty m:val="p"/>
          </m:rPr>
          <m:t>,</m:t>
        </m:r>
        <m:r>
          <m:t>a</m:t>
        </m:r>
        <m:r>
          <m:t>b</m:t>
        </m:r>
        <m:r>
          <m:t>o</m:t>
        </m:r>
        <m:r>
          <m:t>v</m:t>
        </m:r>
        <m:r>
          <m:t>e</m:t>
        </m:r>
        <m:r>
          <m:t>c</m:t>
        </m:r>
        <m:r>
          <m:t>o</m:t>
        </m:r>
        <m:r>
          <m:t>n</m:t>
        </m:r>
        <m:r>
          <m:t>s</m:t>
        </m:r>
        <m:r>
          <m:t>e</m:t>
        </m:r>
        <m:r>
          <m:t>n</m:t>
        </m:r>
        <m:r>
          <m:t>s</m:t>
        </m:r>
        <m:r>
          <m:t>u</m:t>
        </m:r>
        <m:r>
          <m:t>s</m:t>
        </m:r>
        <m:r>
          <m:rPr>
            <m:sty m:val="p"/>
          </m:rPr>
          <m:t>(</m:t>
        </m:r>
        <m:r>
          <m:t> </m:t>
        </m:r>
      </m:oMath>
      <w:r>
        <w:t xml:space="preserve">1.85) and near the top end of prior guidance; GAAP diluted EPS was</w:t>
      </w:r>
      <w:r>
        <w:t xml:space="preserve"> </w:t>
      </w:r>
      <m:oMath>
        <m:r>
          <m:t>2.46</m:t>
        </m:r>
        <m:r>
          <m:rPr>
            <m:sty m:val="p"/>
          </m:rPr>
          <m:t>,</m:t>
        </m:r>
        <m:r>
          <m:t>b</m:t>
        </m:r>
        <m:r>
          <m:t>o</m:t>
        </m:r>
        <m:r>
          <m:t>o</m:t>
        </m:r>
        <m:r>
          <m:t>s</m:t>
        </m:r>
        <m:r>
          <m:t>t</m:t>
        </m:r>
        <m:r>
          <m:t>e</m:t>
        </m:r>
        <m:r>
          <m:t>d</m:t>
        </m:r>
        <m:r>
          <m:t>b</m:t>
        </m:r>
        <m:r>
          <m:t>y</m:t>
        </m:r>
        <m:r>
          <m:t> </m:t>
        </m:r>
      </m:oMath>
      <w:r>
        <w:t xml:space="preserve">351M of sale-leaseback gains.</w:t>
      </w:r>
    </w:p>
    <w:p>
      <w:pPr>
        <w:pStyle w:val="Compact"/>
        <w:numPr>
          <w:ilvl w:val="0"/>
          <w:numId w:val="1001"/>
        </w:numPr>
      </w:pPr>
      <w:r>
        <w:t xml:space="preserve">Total operating revenue of</w:t>
      </w:r>
      <w:r>
        <w:t xml:space="preserve"> </w:t>
      </w:r>
      <w:r>
        <w:rPr>
          <w:b/>
          <w:bCs/>
        </w:rPr>
        <w:t xml:space="preserve">$17.7B, up 16.0%</w:t>
      </w:r>
      <w:r>
        <w:t xml:space="preserve"> </w:t>
      </w:r>
      <w:r>
        <w:t xml:space="preserve">year-over-year; TRASM up 12.1%.</w:t>
      </w:r>
    </w:p>
    <w:p>
      <w:pPr>
        <w:pStyle w:val="Compact"/>
        <w:numPr>
          <w:ilvl w:val="0"/>
          <w:numId w:val="1001"/>
        </w:numPr>
      </w:pPr>
      <w:r>
        <w:t xml:space="preserve">Pre-tax margin of 5.8% (GAAP) / adjusted pre-tax margin of 4.8%.</w:t>
      </w:r>
    </w:p>
    <w:p>
      <w:pPr>
        <w:pStyle w:val="Compact"/>
        <w:numPr>
          <w:ilvl w:val="0"/>
          <w:numId w:val="1001"/>
        </w:numPr>
      </w:pPr>
      <w:r>
        <w:t xml:space="preserve">Average fuel price per gallon</w:t>
      </w:r>
      <w:r>
        <w:t xml:space="preserve"> </w:t>
      </w:r>
      <w:r>
        <w:rPr>
          <w:b/>
          <w:bCs/>
        </w:rPr>
        <w:t xml:space="preserve">$4.19</w:t>
      </w:r>
      <w:r>
        <w:t xml:space="preserve">, up 79% y/y — fuel expense rose $2.3B (+84%) in the quarter.</w:t>
      </w:r>
    </w:p>
    <w:p>
      <w:pPr>
        <w:pStyle w:val="Compact"/>
        <w:numPr>
          <w:ilvl w:val="0"/>
          <w:numId w:val="1001"/>
        </w:numPr>
      </w:pPr>
      <w:r>
        <w:t xml:space="preserve">Yields up 12%; premium revenue +16%, basic economy +11%, loyalty +11%, cargo +23%, with close-in/contracted business revenue up 27%.</w:t>
      </w:r>
    </w:p>
    <w:p>
      <w:pPr>
        <w:pStyle w:val="Compact"/>
        <w:numPr>
          <w:ilvl w:val="0"/>
          <w:numId w:val="1001"/>
        </w:numPr>
      </w:pPr>
      <w:r>
        <w:t xml:space="preserve">Ended the quarter with</w:t>
      </w:r>
      <w:r>
        <w:t xml:space="preserve"> </w:t>
      </w:r>
      <w:r>
        <w:rPr>
          <w:b/>
          <w:bCs/>
        </w:rPr>
        <w:t xml:space="preserve">$19.6B of liquidity</w:t>
      </w:r>
      <w:r>
        <w:t xml:space="preserve">, net leverage of 2.2x, and raised</w:t>
      </w:r>
      <w:r>
        <w:t xml:space="preserve"> </w:t>
      </w:r>
      <w:r>
        <w:t xml:space="preserve">$3.7B in new private liquidity as "insurance" against further oil spikes, while prepaying ~$</w:t>
      </w:r>
      <w:r>
        <w:t xml:space="preserve">1B of higher-cost debt as it targets an</w:t>
      </w:r>
      <w:r>
        <w:t xml:space="preserve"> </w:t>
      </w:r>
      <w:r>
        <w:rPr>
          <w:b/>
          <w:bCs/>
        </w:rPr>
        <w:t xml:space="preserve">investment-grade rating in 2026</w:t>
      </w:r>
      <w:r>
        <w:t xml:space="preserve">.</w:t>
      </w:r>
    </w:p>
    <w:p>
      <w:pPr>
        <w:pStyle w:val="Compact"/>
        <w:numPr>
          <w:ilvl w:val="0"/>
          <w:numId w:val="1001"/>
        </w:numPr>
      </w:pPr>
      <w:r>
        <w:t xml:space="preserve">Operational highlights: best Q2 on-time departure rate since 2021, record daily passenger volumes (640,717 on June 18), Starlink now on 450 aircraft (nearly 1,000 by year-end).</w:t>
      </w:r>
    </w:p>
    <w:p>
      <w:pPr>
        <w:pStyle w:val="FirstParagraph"/>
      </w:pPr>
      <w:r>
        <w:rPr>
          <w:b/>
          <w:bCs/>
        </w:rPr>
        <w:t xml:space="preserve">Fuel is the crux of the story.</w:t>
      </w:r>
      <w:r>
        <w:t xml:space="preserve"> </w:t>
      </w:r>
      <w:r>
        <w:t xml:space="preserve">United said it now expects</w:t>
      </w:r>
      <w:r>
        <w:t xml:space="preserve"> </w:t>
      </w:r>
      <w:r>
        <w:rPr>
          <w:b/>
          <w:bCs/>
        </w:rPr>
        <w:t xml:space="preserve">nearly $6 billion of incremental fuel expense for full-year 2026</w:t>
      </w:r>
      <w:r>
        <w:t xml:space="preserve"> </w:t>
      </w:r>
      <w:r>
        <w:t xml:space="preserve">versus its original budget, based on oil prices as of July 14. In Q2 it recovered only about half of the fuel cost increase through higher fares; it expects to recover</w:t>
      </w:r>
      <w:r>
        <w:t xml:space="preserve"> </w:t>
      </w:r>
      <w:r>
        <w:rPr>
          <w:b/>
          <w:bCs/>
        </w:rPr>
        <w:t xml:space="preserve">80–90% in Q3 and 100% by Q4</w:t>
      </w:r>
      <w:r>
        <w:t xml:space="preserve">.</w:t>
      </w:r>
    </w:p>
    <w:p>
      <w:pPr>
        <w:pStyle w:val="BodyText"/>
      </w:pPr>
      <w:r>
        <w:rPr>
          <w:b/>
          <w:bCs/>
        </w:rPr>
        <w:t xml:space="preserve">Guidance:</w:t>
      </w:r>
    </w:p>
    <w:p>
      <w:pPr>
        <w:pStyle w:val="Compact"/>
        <w:numPr>
          <w:ilvl w:val="0"/>
          <w:numId w:val="1002"/>
        </w:numPr>
      </w:pPr>
      <w:r>
        <w:rPr>
          <w:b/>
          <w:bCs/>
        </w:rPr>
        <w:t xml:space="preserve">Q3 2026 adjusted EPS guidance:</w:t>
      </w:r>
      <w:r>
        <w:rPr>
          <w:b/>
          <w:bCs/>
        </w:rPr>
        <w:t xml:space="preserve"> </w:t>
      </w:r>
      <m:oMath>
        <m:r>
          <m:t>2.50</m:t>
        </m:r>
        <m:r>
          <m:rPr>
            <m:sty m:val="p"/>
          </m:rPr>
          <m:t>–</m:t>
        </m:r>
      </m:oMath>
      <w:r>
        <w:rPr>
          <w:b/>
          <w:bCs/>
        </w:rPr>
        <w:t xml:space="preserve">3.50</w:t>
      </w:r>
      <w:r>
        <w:t xml:space="preserve"> </w:t>
      </w:r>
      <w:r>
        <w:t xml:space="preserve">(midpoint</w:t>
      </w:r>
      <w:r>
        <w:t xml:space="preserve"> </w:t>
      </w:r>
      <m:oMath>
        <m:r>
          <m:t>3.00</m:t>
        </m:r>
        <m:r>
          <m:rPr>
            <m:sty m:val="p"/>
          </m:rPr>
          <m:t>)</m:t>
        </m:r>
        <m:r>
          <m:rPr>
            <m:sty m:val="p"/>
          </m:rPr>
          <m:t>,</m:t>
        </m:r>
        <m:r>
          <m:t>w</m:t>
        </m:r>
        <m:r>
          <m:t>e</m:t>
        </m:r>
        <m:r>
          <m:t>l</m:t>
        </m:r>
        <m:r>
          <m:t>l</m:t>
        </m:r>
        <m:r>
          <m:t>b</m:t>
        </m:r>
        <m:r>
          <m:t>e</m:t>
        </m:r>
        <m:r>
          <m:t>l</m:t>
        </m:r>
        <m:r>
          <m:t>o</m:t>
        </m:r>
        <m:r>
          <m:t>w</m:t>
        </m:r>
        <m:r>
          <m:t>t</m:t>
        </m:r>
        <m:r>
          <m:t>h</m:t>
        </m:r>
        <m:r>
          <m:t>e</m:t>
        </m:r>
        <m:r>
          <m:t> </m:t>
        </m:r>
      </m:oMath>
      <w:r>
        <w:t xml:space="preserve">3.62 Street consensus going in, based on an assumed Q3 fuel price of ~</w:t>
      </w:r>
      <m:oMath>
        <m:r>
          <m:t>3.69</m:t>
        </m:r>
        <m:r>
          <m:rPr>
            <m:sty m:val="p"/>
          </m:rPr>
          <m:t>/</m:t>
        </m:r>
        <m:r>
          <m:t>g</m:t>
        </m:r>
        <m:r>
          <m:t>a</m:t>
        </m:r>
        <m:r>
          <m:t>l</m:t>
        </m:r>
        <m:r>
          <m:t>l</m:t>
        </m:r>
        <m:r>
          <m:t>o</m:t>
        </m:r>
        <m:r>
          <m:t>n</m:t>
        </m:r>
        <m:r>
          <m:rPr>
            <m:sty m:val="p"/>
          </m:rPr>
          <m:t>.</m:t>
        </m:r>
        <m:r>
          <m:t>S</m:t>
        </m:r>
        <m:r>
          <m:t>i</m:t>
        </m:r>
        <m:r>
          <m:t>n</m:t>
        </m:r>
        <m:r>
          <m:t>c</m:t>
        </m:r>
        <m:r>
          <m:t>e</m:t>
        </m:r>
        <m:r>
          <m:t>t</m:t>
        </m:r>
        <m:r>
          <m:t>h</m:t>
        </m:r>
        <m:r>
          <m:t>e</m:t>
        </m:r>
        <m:r>
          <m:t>s</m:t>
        </m:r>
        <m:r>
          <m:t>t</m:t>
        </m:r>
        <m:r>
          <m:t>a</m:t>
        </m:r>
        <m:r>
          <m:t>r</m:t>
        </m:r>
        <m:r>
          <m:t>t</m:t>
        </m:r>
        <m:r>
          <m:t>o</m:t>
        </m:r>
        <m:r>
          <m:t>f</m:t>
        </m:r>
        <m:r>
          <m:t>J</m:t>
        </m:r>
        <m:r>
          <m:t>u</m:t>
        </m:r>
        <m:r>
          <m:t>l</m:t>
        </m:r>
        <m:r>
          <m:t>y</m:t>
        </m:r>
        <m:r>
          <m:t>a</m:t>
        </m:r>
        <m:r>
          <m:t>l</m:t>
        </m:r>
        <m:r>
          <m:t>o</m:t>
        </m:r>
        <m:r>
          <m:t>n</m:t>
        </m:r>
        <m:r>
          <m:t>e</m:t>
        </m:r>
        <m:r>
          <m:rPr>
            <m:sty m:val="p"/>
          </m:rPr>
          <m:t>,</m:t>
        </m:r>
        <m:r>
          <m:t>h</m:t>
        </m:r>
        <m:r>
          <m:t>i</m:t>
        </m:r>
        <m:r>
          <m:t>g</m:t>
        </m:r>
        <m:r>
          <m:t>h</m:t>
        </m:r>
        <m:r>
          <m:t>e</m:t>
        </m:r>
        <m:r>
          <m:t>r</m:t>
        </m:r>
        <m:r>
          <m:t>f</m:t>
        </m:r>
        <m:r>
          <m:t>u</m:t>
        </m:r>
        <m:r>
          <m:t>e</m:t>
        </m:r>
        <m:r>
          <m:t>l</m:t>
        </m:r>
        <m:r>
          <m:t>h</m:t>
        </m:r>
        <m:r>
          <m:t>a</m:t>
        </m:r>
        <m:r>
          <m:t>s</m:t>
        </m:r>
        <m:r>
          <m:t>a</m:t>
        </m:r>
        <m:r>
          <m:t>d</m:t>
        </m:r>
        <m:r>
          <m:t>d</m:t>
        </m:r>
        <m:r>
          <m:t>e</m:t>
        </m:r>
        <m:r>
          <m:t>d</m:t>
        </m:r>
        <m:r>
          <m:t> </m:t>
        </m:r>
      </m:oMath>
      <w:r>
        <w:t xml:space="preserve">1.12 to the EPS drag for the quarter.</w:t>
      </w:r>
    </w:p>
    <w:p>
      <w:pPr>
        <w:pStyle w:val="Compact"/>
        <w:numPr>
          <w:ilvl w:val="0"/>
          <w:numId w:val="1002"/>
        </w:numPr>
      </w:pPr>
      <w:r>
        <w:rPr>
          <w:b/>
          <w:bCs/>
        </w:rPr>
        <w:t xml:space="preserve">Full-year 2026 adjusted EPS guidance raised to</w:t>
      </w:r>
      <w:r>
        <w:rPr>
          <w:b/>
          <w:bCs/>
        </w:rPr>
        <w:t xml:space="preserve"> </w:t>
      </w:r>
      <m:oMath>
        <m:r>
          <m:t>9.00</m:t>
        </m:r>
        <m:r>
          <m:rPr>
            <m:sty m:val="p"/>
          </m:rPr>
          <m:t>–</m:t>
        </m:r>
      </m:oMath>
      <w:r>
        <w:rPr>
          <w:b/>
          <w:bCs/>
        </w:rPr>
        <w:t xml:space="preserve">11.00</w:t>
      </w:r>
      <w:r>
        <w:t xml:space="preserve"> </w:t>
      </w:r>
      <w:r>
        <w:t xml:space="preserve">(midpoint $10.00) from a prior midpoint around</w:t>
      </w:r>
      <w:r>
        <w:t xml:space="preserve"> </w:t>
      </w:r>
      <m:oMath>
        <m:r>
          <m:t>9.00</m:t>
        </m:r>
        <m:r>
          <m:rPr>
            <m:sty m:val="p"/>
          </m:rPr>
          <m:t>—</m:t>
        </m:r>
        <m:r>
          <m:t>s</m:t>
        </m:r>
        <m:r>
          <m:t>t</m:t>
        </m:r>
        <m:r>
          <m:t>i</m:t>
        </m:r>
        <m:r>
          <m:t>l</m:t>
        </m:r>
        <m:r>
          <m:t>l</m:t>
        </m:r>
        <m:r>
          <m:t>b</m:t>
        </m:r>
        <m:r>
          <m:t>e</m:t>
        </m:r>
        <m:r>
          <m:t>l</m:t>
        </m:r>
        <m:r>
          <m:t>o</m:t>
        </m:r>
        <m:r>
          <m:t>w</m:t>
        </m:r>
        <m:r>
          <m:t>t</m:t>
        </m:r>
        <m:r>
          <m:t>h</m:t>
        </m:r>
        <m:r>
          <m:t>e</m:t>
        </m:r>
        <m:r>
          <m:t> </m:t>
        </m:r>
      </m:oMath>
      <w:r>
        <w:t xml:space="preserve">10.50 consensus that existed before the print.</w:t>
      </w:r>
    </w:p>
    <w:p>
      <w:pPr>
        <w:pStyle w:val="Compact"/>
        <w:numPr>
          <w:ilvl w:val="0"/>
          <w:numId w:val="1002"/>
        </w:numPr>
      </w:pPr>
      <w:r>
        <w:t xml:space="preserve">Management explicitly said United expects to be</w:t>
      </w:r>
      <w:r>
        <w:t xml:space="preserve"> </w:t>
      </w:r>
      <w:r>
        <w:rPr>
          <w:b/>
          <w:bCs/>
        </w:rPr>
        <w:t xml:space="preserve">above the high end</w:t>
      </w:r>
      <w:r>
        <w:t xml:space="preserve"> </w:t>
      </w:r>
      <w:r>
        <w:t xml:space="preserve">of both the Q3 and full-year ranges if fuel prices simply return to early-July levels — a signal that guidance embeds a conservative, "war-risk" fuel assumption rather than a demand problem.</w:t>
      </w:r>
    </w:p>
    <w:p>
      <w:pPr>
        <w:pStyle w:val="Compact"/>
        <w:numPr>
          <w:ilvl w:val="0"/>
          <w:numId w:val="1002"/>
        </w:numPr>
      </w:pPr>
      <w:r>
        <w:t xml:space="preserve">Q3/Q4 TRASM growth is expected to</w:t>
      </w:r>
      <w:r>
        <w:t xml:space="preserve"> </w:t>
      </w:r>
      <w:r>
        <w:rPr>
          <w:b/>
          <w:bCs/>
        </w:rPr>
        <w:t xml:space="preserve">exceed</w:t>
      </w:r>
      <w:r>
        <w:t xml:space="preserve"> </w:t>
      </w:r>
      <w:r>
        <w:t xml:space="preserve">Q2's +12.1%.</w:t>
      </w:r>
    </w:p>
    <w:p>
      <w:pPr>
        <w:pStyle w:val="Compact"/>
        <w:numPr>
          <w:ilvl w:val="0"/>
          <w:numId w:val="1002"/>
        </w:numPr>
      </w:pPr>
      <w:r>
        <w:t xml:space="preserve">Q4 capacity is expected to step down from current published schedules (including an extended FAA order at ORD), and United says it's prepared to trim capacity further if fuel stays elevated — a lever it already pulled in Q2/Q3.</w:t>
      </w:r>
    </w:p>
    <w:p>
      <w:pPr>
        <w:pStyle w:val="Compact"/>
        <w:numPr>
          <w:ilvl w:val="0"/>
          <w:numId w:val="1002"/>
        </w:numPr>
      </w:pPr>
      <w:r>
        <w:t xml:space="preserve">Full-year adjusted capex guidance: ~$7.5B.</w:t>
      </w:r>
    </w:p>
    <w:bookmarkEnd w:id="11"/>
    <w:bookmarkStart w:id="12" w:name="X036f05f65c62c9ce27d0f4642c82bafec764544"/>
    <w:p>
      <w:pPr>
        <w:pStyle w:val="Heading2"/>
      </w:pPr>
      <w:r>
        <w:t xml:space="preserve">3. Reading the Market Reaction</w:t>
      </w:r>
    </w:p>
    <w:p>
      <w:pPr>
        <w:pStyle w:val="FirstParagraph"/>
      </w:pPr>
      <w:r>
        <w:t xml:space="preserve">Despite the beat, UAL shares were roughly flat on release day (~</w:t>
      </w:r>
      <m:oMath>
        <m:r>
          <m:t>120.35</m:t>
        </m:r>
        <m:r>
          <m:t>t</m:t>
        </m:r>
        <m:r>
          <m:t>o</m:t>
        </m:r>
        <m:r>
          <m:t> </m:t>
        </m:r>
      </m:oMath>
      <w:r>
        <w:t xml:space="preserve">121.00), a fairly muted response given the magnitude of the EPS beat. That suggests investors are focused less on the trailing quarter and more on (a) the size of the fuel-guidance cut relative to consensus for Q3, and (b) how confident management sounds tomorrow about fare/fuel pass-through given the still-live Iran/Strait-of-Hormuz risk. Citi had flagged before the print that United was among the airlines best positioned to be "rewarded for guidance" if it could show durable pricing power — tomorrow's call is really where that thesis gets tested with analysts.</w:t>
      </w:r>
    </w:p>
    <w:bookmarkEnd w:id="12"/>
    <w:bookmarkStart w:id="13" w:name="X537119fdf027efc452cc4d84b6bb1e70cecd760"/>
    <w:p>
      <w:pPr>
        <w:pStyle w:val="Heading2"/>
      </w:pPr>
      <w:r>
        <w:t xml:space="preserve">4. What To Listen For On Tomorrow's Call</w:t>
      </w:r>
    </w:p>
    <w:p>
      <w:pPr>
        <w:pStyle w:val="Compact"/>
        <w:numPr>
          <w:ilvl w:val="0"/>
          <w:numId w:val="1003"/>
        </w:numPr>
      </w:pPr>
      <w:r>
        <w:rPr>
          <w:b/>
          <w:bCs/>
        </w:rPr>
        <w:t xml:space="preserve">Fuel-cost pass-through mechanics.</w:t>
      </w:r>
      <w:r>
        <w:t xml:space="preserve"> </w:t>
      </w:r>
      <w:r>
        <w:t xml:space="preserve">Management has laid out a specific glide path (50% recovered in Q2, 80–90% in Q3, 100% in Q4). Analysts will press on whether that recovery schedule is achievable if oil stays volatile, and whether it implies further fare increases or capacity discipline as the primary lever.</w:t>
      </w:r>
    </w:p>
    <w:p>
      <w:pPr>
        <w:pStyle w:val="Compact"/>
        <w:numPr>
          <w:ilvl w:val="0"/>
          <w:numId w:val="1003"/>
        </w:numPr>
      </w:pPr>
      <w:r>
        <w:rPr>
          <w:b/>
          <w:bCs/>
        </w:rPr>
        <w:t xml:space="preserve">Capacity discipline vs. growth ambitions.</w:t>
      </w:r>
      <w:r>
        <w:t xml:space="preserve"> </w:t>
      </w:r>
      <w:r>
        <w:t xml:space="preserve">United flagged that Q4 capacity is coming down from published schedules and it's willing to cut further. Given United has led U.S. carriers in ASM growth for 14 straight quarters, any tone shift toward capacity restraint is a meaningful signal for industry supply/pricing dynamics — and one Wall Street will want quantified.</w:t>
      </w:r>
    </w:p>
    <w:p>
      <w:pPr>
        <w:pStyle w:val="Compact"/>
        <w:numPr>
          <w:ilvl w:val="0"/>
          <w:numId w:val="1003"/>
        </w:numPr>
      </w:pPr>
      <w:r>
        <w:rPr>
          <w:b/>
          <w:bCs/>
        </w:rPr>
        <w:t xml:space="preserve">Demand resilience / consumer mix.</w:t>
      </w:r>
      <w:r>
        <w:t xml:space="preserve"> </w:t>
      </w:r>
      <w:r>
        <w:t xml:space="preserve">Q2 showed strength across premium (+16%), basic economy (+11%), and contracted business revenue (+27%), plus two consecutive quarters of positive economy-cabin unit revenue growth. Watch for commentary on whether this broad-based strength — echoing Delta's "resilient high-end consumer" narrative — is holding into Q3, especially internationally (Atlantic, Pacific) versus domestic.</w:t>
      </w:r>
    </w:p>
    <w:p>
      <w:pPr>
        <w:pStyle w:val="Compact"/>
        <w:numPr>
          <w:ilvl w:val="0"/>
          <w:numId w:val="1003"/>
        </w:numPr>
      </w:pPr>
      <w:r>
        <w:rPr>
          <w:b/>
          <w:bCs/>
        </w:rPr>
        <w:t xml:space="preserve">Balance sheet / investment-grade progress.</w:t>
      </w:r>
      <w:r>
        <w:t xml:space="preserve"> </w:t>
      </w:r>
      <w:r>
        <w:t xml:space="preserve">The $3.7B private liquidity raise and debt prepayment underscore a deliberate push toward investment-grade status in 2026. Expect questions on rating-agency timing, further debt paydown plans, and capital allocation (buybacks vs. deleveraging) once fuel volatility subsides.</w:t>
      </w:r>
    </w:p>
    <w:p>
      <w:pPr>
        <w:pStyle w:val="Compact"/>
        <w:numPr>
          <w:ilvl w:val="0"/>
          <w:numId w:val="1003"/>
        </w:numPr>
      </w:pPr>
      <w:r>
        <w:rPr>
          <w:b/>
          <w:bCs/>
        </w:rPr>
        <w:t xml:space="preserve">Fleet and network execution.</w:t>
      </w:r>
      <w:r>
        <w:t xml:space="preserve"> </w:t>
      </w:r>
      <w:r>
        <w:t xml:space="preserve">First A321XLR delivered; Starlink rollout (widebody now included) continues ahead of schedule; several new international routes launched. Watch for updated commentary on Boeing/Airbus delivery reliability and how fleet growth (1,552 aircraft, +5.4% y/y) squares with the more cautious near-term capacity stance.</w:t>
      </w:r>
    </w:p>
    <w:p>
      <w:pPr>
        <w:pStyle w:val="Compact"/>
        <w:numPr>
          <w:ilvl w:val="0"/>
          <w:numId w:val="1003"/>
        </w:numPr>
      </w:pPr>
      <w:r>
        <w:rPr>
          <w:b/>
          <w:bCs/>
        </w:rPr>
        <w:t xml:space="preserve">Sensitivity/scenario framing on oil.</w:t>
      </w:r>
      <w:r>
        <w:t xml:space="preserve"> </w:t>
      </w:r>
      <w:r>
        <w:t xml:space="preserve">Given management explicitly said it would beat guidance ranges if fuel reverts to early-July levels, expect the call to spend real time on fuel-price scenario analysis — a useful proxy for how the Street should model Q3/Q4 EPS under different Brent/Strait-of-Hormuz outcomes.</w:t>
      </w:r>
    </w:p>
    <w:bookmarkEnd w:id="13"/>
    <w:bookmarkStart w:id="14" w:name="X6732e1a49fc36d9815d6ad5ce798499c3027263"/>
    <w:p>
      <w:pPr>
        <w:pStyle w:val="Heading2"/>
      </w:pPr>
      <w:r>
        <w:t xml:space="preserve">5. Key Numbers to Have On Hand</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2Q26</w:t>
            </w:r>
          </w:p>
        </w:tc>
        <w:tc>
          <w:tcPr/>
          <w:p>
            <w:pPr>
              <w:pStyle w:val="Compact"/>
            </w:pPr>
            <w:r>
              <w:t xml:space="preserve">2Q25</w:t>
            </w:r>
          </w:p>
        </w:tc>
        <w:tc>
          <w:tcPr/>
          <w:p>
            <w:pPr>
              <w:pStyle w:val="Compact"/>
            </w:pPr>
            <w:r>
              <w:t xml:space="preserve">Y/Y</w:t>
            </w:r>
          </w:p>
        </w:tc>
      </w:tr>
      <w:tr>
        <w:tc>
          <w:tcPr/>
          <w:p>
            <w:pPr>
              <w:pStyle w:val="Compact"/>
            </w:pPr>
            <w:r>
              <w:t xml:space="preserve">Total operating revenue</w:t>
            </w:r>
          </w:p>
        </w:tc>
        <w:tc>
          <w:tcPr/>
          <w:p>
            <w:pPr>
              <w:pStyle w:val="Compact"/>
            </w:pPr>
            <w:r>
              <w:t xml:space="preserve">$17.67B</w:t>
            </w:r>
          </w:p>
        </w:tc>
        <w:tc>
          <w:tcPr/>
          <w:p>
            <w:pPr>
              <w:pStyle w:val="Compact"/>
            </w:pPr>
            <w:r>
              <w:t xml:space="preserve">$15.24B</w:t>
            </w:r>
          </w:p>
        </w:tc>
        <w:tc>
          <w:tcPr/>
          <w:p>
            <w:pPr>
              <w:pStyle w:val="Compact"/>
            </w:pPr>
            <w:r>
              <w:t xml:space="preserve">+16.0%</w:t>
            </w:r>
          </w:p>
        </w:tc>
      </w:tr>
      <w:tr>
        <w:tc>
          <w:tcPr/>
          <w:p>
            <w:pPr>
              <w:pStyle w:val="Compact"/>
            </w:pPr>
            <w:r>
              <w:t xml:space="preserve">TRASM</w:t>
            </w:r>
          </w:p>
        </w:tc>
        <w:tc>
          <w:tcPr/>
          <w:p>
            <w:pPr>
              <w:pStyle w:val="Compact"/>
            </w:pPr>
            <w:r>
              <w:t xml:space="preserve">20.25¢</w:t>
            </w:r>
          </w:p>
        </w:tc>
        <w:tc>
          <w:tcPr/>
          <w:p>
            <w:pPr>
              <w:pStyle w:val="Compact"/>
            </w:pPr>
            <w:r>
              <w:t xml:space="preserve">18.06¢</w:t>
            </w:r>
          </w:p>
        </w:tc>
        <w:tc>
          <w:tcPr/>
          <w:p>
            <w:pPr>
              <w:pStyle w:val="Compact"/>
            </w:pPr>
            <w:r>
              <w:t xml:space="preserve">+12.1%</w:t>
            </w:r>
          </w:p>
        </w:tc>
      </w:tr>
      <w:tr>
        <w:tc>
          <w:tcPr/>
          <w:p>
            <w:pPr>
              <w:pStyle w:val="Compact"/>
            </w:pPr>
            <w:r>
              <w:t xml:space="preserve">CASM-ex</w:t>
            </w:r>
          </w:p>
        </w:tc>
        <w:tc>
          <w:tcPr/>
          <w:p>
            <w:pPr>
              <w:pStyle w:val="Compact"/>
            </w:pPr>
            <w:r>
              <w:t xml:space="preserve">13.12¢</w:t>
            </w:r>
          </w:p>
        </w:tc>
        <w:tc>
          <w:tcPr/>
          <w:p>
            <w:pPr>
              <w:pStyle w:val="Compact"/>
            </w:pPr>
            <w:r>
              <w:t xml:space="preserve">12.36¢</w:t>
            </w:r>
          </w:p>
        </w:tc>
        <w:tc>
          <w:tcPr/>
          <w:p>
            <w:pPr>
              <w:pStyle w:val="Compact"/>
            </w:pPr>
            <w:r>
              <w:t xml:space="preserve">+6.1%</w:t>
            </w:r>
          </w:p>
        </w:tc>
      </w:tr>
      <w:tr>
        <w:tc>
          <w:tcPr/>
          <w:p>
            <w:pPr>
              <w:pStyle w:val="Compact"/>
            </w:pPr>
            <w:r>
              <w:t xml:space="preserve">Fuel price/gallon</w:t>
            </w:r>
          </w:p>
        </w:tc>
        <w:tc>
          <w:tcPr/>
          <w:p>
            <w:pPr>
              <w:pStyle w:val="Compact"/>
            </w:pPr>
            <w:r>
              <w:t xml:space="preserve">$4.19</w:t>
            </w:r>
          </w:p>
        </w:tc>
        <w:tc>
          <w:tcPr/>
          <w:p>
            <w:pPr>
              <w:pStyle w:val="Compact"/>
            </w:pPr>
            <w:r>
              <w:t xml:space="preserve">$2.34</w:t>
            </w:r>
          </w:p>
        </w:tc>
        <w:tc>
          <w:tcPr/>
          <w:p>
            <w:pPr>
              <w:pStyle w:val="Compact"/>
            </w:pPr>
            <w:r>
              <w:t xml:space="preserve">+79.4%</w:t>
            </w:r>
          </w:p>
        </w:tc>
      </w:tr>
      <w:tr>
        <w:tc>
          <w:tcPr/>
          <w:p>
            <w:pPr>
              <w:pStyle w:val="Compact"/>
            </w:pPr>
            <w:r>
              <w:t xml:space="preserve">Adjusted EPS</w:t>
            </w:r>
          </w:p>
        </w:tc>
        <w:tc>
          <w:tcPr/>
          <w:p>
            <w:pPr>
              <w:pStyle w:val="Compact"/>
            </w:pPr>
            <w:r>
              <w:t xml:space="preserve">$1.99</w:t>
            </w:r>
          </w:p>
        </w:tc>
        <w:tc>
          <w:tcPr/>
          <w:p>
            <w:pPr>
              <w:pStyle w:val="Compact"/>
            </w:pPr>
            <w:r>
              <w:t xml:space="preserve">$3.87</w:t>
            </w:r>
          </w:p>
        </w:tc>
        <w:tc>
          <w:tcPr/>
          <w:p>
            <w:pPr>
              <w:pStyle w:val="Compact"/>
            </w:pPr>
            <w:r>
              <w:t xml:space="preserve">-48.6%</w:t>
            </w:r>
          </w:p>
        </w:tc>
      </w:tr>
      <w:tr>
        <w:tc>
          <w:tcPr/>
          <w:p>
            <w:pPr>
              <w:pStyle w:val="Compact"/>
            </w:pPr>
            <w:r>
              <w:t xml:space="preserve">Adjusted pre-tax margin</w:t>
            </w:r>
          </w:p>
        </w:tc>
        <w:tc>
          <w:tcPr/>
          <w:p>
            <w:pPr>
              <w:pStyle w:val="Compact"/>
            </w:pPr>
            <w:r>
              <w:t xml:space="preserve">4.8%</w:t>
            </w:r>
          </w:p>
        </w:tc>
        <w:tc>
          <w:tcPr/>
          <w:p>
            <w:pPr>
              <w:pStyle w:val="Compact"/>
            </w:pPr>
            <w:r>
              <w:t xml:space="preserve">11.0%</w:t>
            </w:r>
          </w:p>
        </w:tc>
        <w:tc>
          <w:tcPr/>
          <w:p>
            <w:pPr>
              <w:pStyle w:val="Compact"/>
            </w:pPr>
            <w:r>
              <w:t xml:space="preserve">-6.2 pts</w:t>
            </w:r>
          </w:p>
        </w:tc>
      </w:tr>
      <w:tr>
        <w:tc>
          <w:tcPr/>
          <w:p>
            <w:pPr>
              <w:pStyle w:val="Compact"/>
            </w:pPr>
            <w:r>
              <w:t xml:space="preserve">Net leverage</w:t>
            </w:r>
          </w:p>
        </w:tc>
        <w:tc>
          <w:tcPr/>
          <w:p>
            <w:pPr>
              <w:pStyle w:val="Compact"/>
            </w:pPr>
            <w:r>
              <w:t xml:space="preserve">2.2x</w:t>
            </w:r>
          </w:p>
        </w:tc>
        <w:tc>
          <w:tcPr/>
          <w:p>
            <w:pPr>
              <w:pStyle w:val="Compact"/>
            </w:pPr>
            <w:r>
              <w:t xml:space="preserve">2.0x</w:t>
            </w:r>
          </w:p>
        </w:tc>
        <w:tc>
          <w:tcPr/>
          <w:p>
            <w:pPr>
              <w:pStyle w:val="Compact"/>
            </w:pPr>
            <w:r>
              <w:t xml:space="preserve">+0.2 pts</w:t>
            </w:r>
          </w:p>
        </w:tc>
      </w:tr>
    </w:tbl>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Guidance</w:t>
            </w:r>
          </w:p>
        </w:tc>
        <w:tc>
          <w:tcPr/>
          <w:p>
            <w:pPr>
              <w:pStyle w:val="Compact"/>
            </w:pPr>
            <w:r>
              <w:t xml:space="preserve">Range</w:t>
            </w:r>
          </w:p>
        </w:tc>
        <w:tc>
          <w:tcPr/>
          <w:p>
            <w:pPr>
              <w:pStyle w:val="Compact"/>
            </w:pPr>
            <w:r>
              <w:t xml:space="preserve">Midpoint</w:t>
            </w:r>
          </w:p>
        </w:tc>
        <w:tc>
          <w:tcPr/>
          <w:p>
            <w:pPr>
              <w:pStyle w:val="Compact"/>
            </w:pPr>
            <w:r>
              <w:t xml:space="preserve">Street (pre-print)</w:t>
            </w:r>
          </w:p>
        </w:tc>
      </w:tr>
      <w:tr>
        <w:tc>
          <w:tcPr/>
          <w:p>
            <w:pPr>
              <w:pStyle w:val="Compact"/>
            </w:pPr>
            <w:r>
              <w:t xml:space="preserve">Q3 2026 adjusted EPS</w:t>
            </w:r>
          </w:p>
        </w:tc>
        <w:tc>
          <w:tcPr/>
          <w:p>
            <w:pPr>
              <w:pStyle w:val="Compact"/>
            </w:pPr>
            <m:oMath>
              <m:r>
                <m:t>2.50</m:t>
              </m:r>
              <m:r>
                <m:rPr>
                  <m:sty m:val="p"/>
                </m:rPr>
                <m:t>–</m:t>
              </m:r>
            </m:oMath>
            <w:r>
              <w:t xml:space="preserve">3.50</w:t>
            </w:r>
          </w:p>
        </w:tc>
        <w:tc>
          <w:tcPr/>
          <w:p>
            <w:pPr>
              <w:pStyle w:val="Compact"/>
            </w:pPr>
            <w:r>
              <w:t xml:space="preserve">$3.00</w:t>
            </w:r>
          </w:p>
        </w:tc>
        <w:tc>
          <w:tcPr/>
          <w:p>
            <w:pPr>
              <w:pStyle w:val="Compact"/>
            </w:pPr>
            <w:r>
              <w:t xml:space="preserve">~$3.62</w:t>
            </w:r>
          </w:p>
        </w:tc>
      </w:tr>
      <w:tr>
        <w:tc>
          <w:tcPr/>
          <w:p>
            <w:pPr>
              <w:pStyle w:val="Compact"/>
            </w:pPr>
            <w:r>
              <w:t xml:space="preserve">FY2026 adjusted EPS</w:t>
            </w:r>
          </w:p>
        </w:tc>
        <w:tc>
          <w:tcPr/>
          <w:p>
            <w:pPr>
              <w:pStyle w:val="Compact"/>
            </w:pPr>
            <m:oMath>
              <m:r>
                <m:t>9.00</m:t>
              </m:r>
              <m:r>
                <m:rPr>
                  <m:sty m:val="p"/>
                </m:rPr>
                <m:t>–</m:t>
              </m:r>
            </m:oMath>
            <w:r>
              <w:t xml:space="preserve">11.00</w:t>
            </w:r>
          </w:p>
        </w:tc>
        <w:tc>
          <w:tcPr/>
          <w:p>
            <w:pPr>
              <w:pStyle w:val="Compact"/>
            </w:pPr>
            <w:r>
              <w:t xml:space="preserve">$10.00</w:t>
            </w:r>
          </w:p>
        </w:tc>
        <w:tc>
          <w:tcPr/>
          <w:p>
            <w:pPr>
              <w:pStyle w:val="Compact"/>
            </w:pPr>
            <w:r>
              <w:t xml:space="preserve">~$10.50</w:t>
            </w:r>
          </w:p>
        </w:tc>
      </w:tr>
    </w:tbl>
    <w:bookmarkEnd w:id="14"/>
    <w:bookmarkStart w:id="15" w:name="X49e34d9056703e0521ab3ce2e920b2c4ba97a36"/>
    <w:p>
      <w:pPr>
        <w:pStyle w:val="Heading2"/>
      </w:pPr>
      <w:r>
        <w:t xml:space="preserve">6. Bottom Line</w:t>
      </w:r>
    </w:p>
    <w:p>
      <w:pPr>
        <w:pStyle w:val="FirstParagraph"/>
      </w:pPr>
      <w:r>
        <w:t xml:space="preserve">United's underlying demand and cost-control trends look solid — the beat, the loyalty/cargo/premium revenue diversification, record operational metrics, and progress toward investment-grade credit are all constructive. But the story going into tomorrow's call is really a</w:t>
      </w:r>
      <w:r>
        <w:t xml:space="preserve"> </w:t>
      </w:r>
      <w:r>
        <w:rPr>
          <w:b/>
          <w:bCs/>
        </w:rPr>
        <w:t xml:space="preserve">fuel-price story</w:t>
      </w:r>
      <w:r>
        <w:t xml:space="preserve">: guidance was cut versus prior Street expectations almost entirely because of a ~$6B swing in expected full-year fuel costs tied to the Iran conflict, not because of any softening in ticket demand. The key question for the call is whether management can convince investors that pricing power and capacity discipline will let United recover that cost quickly (as it's projecting — 100% by Q4) even if geopolitical risk to oil prices persists, and how quickly the newly raised liquidity translates into balance-sheet de-risking and eventual capital returns.</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2026-07-16T01:28:34Z</dcterms:created>
  <dcterms:modified xsi:type="dcterms:W3CDTF">2026-07-16T01:28:34Z</dcterms:modified>
</cp:coreProperties>
</file>

<file path=docProps/custom.xml><?xml version="1.0" encoding="utf-8"?>
<Properties xmlns="http://schemas.openxmlformats.org/officeDocument/2006/custom-properties" xmlns:vt="http://schemas.openxmlformats.org/officeDocument/2006/docPropsVTypes"/>
</file>