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ual-q2-2026-earnings-call-preview"/>
    <w:p>
      <w:pPr>
        <w:pStyle w:val="Heading1"/>
      </w:pPr>
      <w:r>
        <w:t xml:space="preserve">UAL Q2 2026 Earnings-Call Preview</w:t>
      </w:r>
    </w:p>
    <w:p>
      <w:pPr>
        <w:pStyle w:val="BlockText"/>
      </w:pPr>
      <w:r>
        <w:rPr>
          <w:b/>
          <w:bCs/>
        </w:rPr>
        <w:t xml:space="preserve">Timing note:</w:t>
      </w:r>
      <w:r>
        <w:t xml:space="preserve"> </w:t>
      </w:r>
      <w:r>
        <w:t xml:space="preserve">United released its Q2 results after the market closed on</w:t>
      </w:r>
      <w:r>
        <w:t xml:space="preserve"> </w:t>
      </w:r>
      <w:r>
        <w:rPr>
          <w:b/>
          <w:bCs/>
        </w:rPr>
        <w:t xml:space="preserve">Wednesday, July 15, 2026</w:t>
      </w:r>
      <w:r>
        <w:t xml:space="preserve">. The earnings call is</w:t>
      </w:r>
      <w:r>
        <w:t xml:space="preserve"> </w:t>
      </w:r>
      <w:r>
        <w:rPr>
          <w:b/>
          <w:bCs/>
        </w:rPr>
        <w:t xml:space="preserve">today, Thursday, July 16, at 10:30 a.m. ET</w:t>
      </w:r>
      <w:r>
        <w:t xml:space="preserve">—not tomorrow. This is therefore a preview of the call and the market’s interpretation of the already-released numbers. (</w:t>
      </w:r>
      <w:hyperlink r:id="rId9">
        <w:r>
          <w:rPr>
            <w:rStyle w:val="Hyperlink"/>
          </w:rPr>
          <w:t xml:space="preserve">ir.united.com</w:t>
        </w:r>
      </w:hyperlink>
      <w:r>
        <w:t xml:space="preserve">)</w:t>
      </w:r>
    </w:p>
    <w:bookmarkStart w:id="10" w:name="executive-take"/>
    <w:p>
      <w:pPr>
        <w:pStyle w:val="Heading2"/>
      </w:pPr>
      <w:r>
        <w:t xml:space="preserve">Executive take</w:t>
      </w:r>
    </w:p>
    <w:p>
      <w:pPr>
        <w:pStyle w:val="FirstParagraph"/>
      </w:pPr>
      <w:r>
        <w:t xml:space="preserve">United delivered a strong revenue quarter and raised the lower end of its full-year outlook despite an extraordinary fuel-cost shock. The central investor question is no longer whether Q2 beat expectations—it did—but whether United can</w:t>
      </w:r>
      <w:r>
        <w:t xml:space="preserve"> </w:t>
      </w:r>
      <w:r>
        <w:rPr>
          <w:b/>
          <w:bCs/>
        </w:rPr>
        <w:t xml:space="preserve">retain higher fares, recover substantially all incremental fuel expense, and rebuild margins without damaging demand</w:t>
      </w:r>
      <w:r>
        <w:t xml:space="preserve">.</w:t>
      </w:r>
    </w:p>
    <w:p>
      <w:pPr>
        <w:pStyle w:val="BodyText"/>
      </w:pPr>
      <w:r>
        <w:t xml:space="preserve">The results contain both sides of that debate:</w:t>
      </w:r>
    </w:p>
    <w:p>
      <w:pPr>
        <w:pStyle w:val="Compact"/>
        <w:numPr>
          <w:ilvl w:val="0"/>
          <w:numId w:val="1001"/>
        </w:numPr>
      </w:pPr>
      <w:r>
        <w:rPr>
          <w:b/>
          <w:bCs/>
        </w:rPr>
        <w:t xml:space="preserve">Bull case:</w:t>
      </w:r>
      <w:r>
        <w:t xml:space="preserve"> </w:t>
      </w:r>
      <w:r>
        <w:t xml:space="preserve">TRASM grew 12.1% on only 3.5% capacity growth, with strength across premium, corporate, economy, loyalty and international markets.</w:t>
      </w:r>
    </w:p>
    <w:p>
      <w:pPr>
        <w:pStyle w:val="Compact"/>
        <w:numPr>
          <w:ilvl w:val="0"/>
          <w:numId w:val="1001"/>
        </w:numPr>
      </w:pPr>
      <w:r>
        <w:rPr>
          <w:b/>
          <w:bCs/>
        </w:rPr>
        <w:t xml:space="preserve">Bear case:</w:t>
      </w:r>
      <w:r>
        <w:t xml:space="preserve"> </w:t>
      </w:r>
      <w:r>
        <w:t xml:space="preserve">Adjusted pre-tax margin fell to 4.8% from 11.0% a year ago, free cash flow dropped sharply, and the Q3 earnings midpoint is restrained by another abrupt increase in fuel prices.</w:t>
      </w:r>
    </w:p>
    <w:p>
      <w:pPr>
        <w:pStyle w:val="Compact"/>
        <w:numPr>
          <w:ilvl w:val="0"/>
          <w:numId w:val="1001"/>
        </w:numPr>
      </w:pPr>
      <w:r>
        <w:rPr>
          <w:b/>
          <w:bCs/>
        </w:rPr>
        <w:t xml:space="preserve">What matters on the call:</w:t>
      </w:r>
      <w:r>
        <w:t xml:space="preserve"> </w:t>
      </w:r>
      <w:r>
        <w:t xml:space="preserve">Evidence supporting United’s forecast for even faster unit-revenue growth in Q3 and Q4, 100% fuel recovery by Q4, and continued pricing power after the peak summer period.</w:t>
      </w:r>
    </w:p>
    <w:bookmarkEnd w:id="10"/>
    <w:bookmarkStart w:id="12" w:name="q2-scorecard"/>
    <w:p>
      <w:pPr>
        <w:pStyle w:val="Heading2"/>
      </w:pPr>
      <w:r>
        <w:t xml:space="preserve">Q2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w:t>
            </w:r>
          </w:p>
        </w:tc>
        <w:tc>
          <w:tcPr/>
          <w:p>
            <w:pPr>
              <w:pStyle w:val="Compact"/>
              <w:jc w:val="right"/>
            </w:pPr>
            <w:r>
              <w:t xml:space="preserve">YoY change</w:t>
            </w:r>
          </w:p>
        </w:tc>
      </w:tr>
      <w:tr>
        <w:tc>
          <w:tcPr/>
          <w:p>
            <w:pPr>
              <w:pStyle w:val="Compact"/>
            </w:pPr>
            <w:r>
              <w:t xml:space="preserve">Revenue</w:t>
            </w:r>
          </w:p>
        </w:tc>
        <w:tc>
          <w:tcPr/>
          <w:p>
            <w:pPr>
              <w:pStyle w:val="Compact"/>
              <w:jc w:val="right"/>
            </w:pPr>
            <w:r>
              <w:t xml:space="preserve">$17.67B</w:t>
            </w:r>
          </w:p>
        </w:tc>
        <w:tc>
          <w:tcPr/>
          <w:p>
            <w:pPr>
              <w:pStyle w:val="Compact"/>
              <w:jc w:val="right"/>
            </w:pPr>
            <w:r>
              <w:t xml:space="preserve">+16.0%</w:t>
            </w:r>
          </w:p>
        </w:tc>
      </w:tr>
      <w:tr>
        <w:tc>
          <w:tcPr/>
          <w:p>
            <w:pPr>
              <w:pStyle w:val="Compact"/>
            </w:pPr>
            <w:r>
              <w:t xml:space="preserve">Adjusted EPS</w:t>
            </w:r>
          </w:p>
        </w:tc>
        <w:tc>
          <w:tcPr/>
          <w:p>
            <w:pPr>
              <w:pStyle w:val="Compact"/>
              <w:jc w:val="right"/>
            </w:pPr>
            <w:r>
              <w:t xml:space="preserve">$1.99</w:t>
            </w:r>
          </w:p>
        </w:tc>
        <w:tc>
          <w:tcPr/>
          <w:p>
            <w:pPr>
              <w:pStyle w:val="Compact"/>
              <w:jc w:val="right"/>
            </w:pPr>
            <w:r>
              <w:t xml:space="preserve">-48.6%</w:t>
            </w:r>
          </w:p>
        </w:tc>
      </w:tr>
      <w:tr>
        <w:tc>
          <w:tcPr/>
          <w:p>
            <w:pPr>
              <w:pStyle w:val="Compact"/>
            </w:pPr>
            <w:r>
              <w:t xml:space="preserve">Capacity</w:t>
            </w:r>
          </w:p>
        </w:tc>
        <w:tc>
          <w:tcPr/>
          <w:p>
            <w:pPr>
              <w:pStyle w:val="Compact"/>
              <w:jc w:val="right"/>
            </w:pPr>
            <w:r>
              <w:t xml:space="preserve">—</w:t>
            </w:r>
          </w:p>
        </w:tc>
        <w:tc>
          <w:tcPr/>
          <w:p>
            <w:pPr>
              <w:pStyle w:val="Compact"/>
              <w:jc w:val="right"/>
            </w:pPr>
            <w:r>
              <w:t xml:space="preserve">+3.5%</w:t>
            </w:r>
          </w:p>
        </w:tc>
      </w:tr>
      <w:tr>
        <w:tc>
          <w:tcPr/>
          <w:p>
            <w:pPr>
              <w:pStyle w:val="Compact"/>
            </w:pPr>
            <w:r>
              <w:t xml:space="preserve">TRASM</w:t>
            </w:r>
          </w:p>
        </w:tc>
        <w:tc>
          <w:tcPr/>
          <w:p>
            <w:pPr>
              <w:pStyle w:val="Compact"/>
              <w:jc w:val="right"/>
            </w:pPr>
            <w:r>
              <w:t xml:space="preserve">20.25¢</w:t>
            </w:r>
          </w:p>
        </w:tc>
        <w:tc>
          <w:tcPr/>
          <w:p>
            <w:pPr>
              <w:pStyle w:val="Compact"/>
              <w:jc w:val="right"/>
            </w:pPr>
            <w:r>
              <w:t xml:space="preserve">+12.1%</w:t>
            </w:r>
          </w:p>
        </w:tc>
      </w:tr>
      <w:tr>
        <w:tc>
          <w:tcPr/>
          <w:p>
            <w:pPr>
              <w:pStyle w:val="Compact"/>
            </w:pPr>
            <w:r>
              <w:t xml:space="preserve">Passenger yield</w:t>
            </w:r>
          </w:p>
        </w:tc>
        <w:tc>
          <w:tcPr/>
          <w:p>
            <w:pPr>
              <w:pStyle w:val="Compact"/>
              <w:jc w:val="right"/>
            </w:pPr>
            <w:r>
              <w:t xml:space="preserve">22.13¢</w:t>
            </w:r>
          </w:p>
        </w:tc>
        <w:tc>
          <w:tcPr/>
          <w:p>
            <w:pPr>
              <w:pStyle w:val="Compact"/>
              <w:jc w:val="right"/>
            </w:pPr>
            <w:r>
              <w:t xml:space="preserve">+12.1%</w:t>
            </w:r>
          </w:p>
        </w:tc>
      </w:tr>
      <w:tr>
        <w:tc>
          <w:tcPr/>
          <w:p>
            <w:pPr>
              <w:pStyle w:val="Compact"/>
            </w:pPr>
            <w:r>
              <w:t xml:space="preserve">CASM-ex</w:t>
            </w:r>
          </w:p>
        </w:tc>
        <w:tc>
          <w:tcPr/>
          <w:p>
            <w:pPr>
              <w:pStyle w:val="Compact"/>
              <w:jc w:val="right"/>
            </w:pPr>
            <w:r>
              <w:t xml:space="preserve">13.12¢</w:t>
            </w:r>
          </w:p>
        </w:tc>
        <w:tc>
          <w:tcPr/>
          <w:p>
            <w:pPr>
              <w:pStyle w:val="Compact"/>
              <w:jc w:val="right"/>
            </w:pPr>
            <w:r>
              <w:t xml:space="preserve">+6.1%</w:t>
            </w:r>
          </w:p>
        </w:tc>
      </w:tr>
      <w:tr>
        <w:tc>
          <w:tcPr/>
          <w:p>
            <w:pPr>
              <w:pStyle w:val="Compact"/>
            </w:pPr>
            <w:r>
              <w:t xml:space="preserve">Adjusted pre-tax margin</w:t>
            </w:r>
          </w:p>
        </w:tc>
        <w:tc>
          <w:tcPr/>
          <w:p>
            <w:pPr>
              <w:pStyle w:val="Compact"/>
              <w:jc w:val="right"/>
            </w:pPr>
            <w:r>
              <w:t xml:space="preserve">4.8%</w:t>
            </w:r>
          </w:p>
        </w:tc>
        <w:tc>
          <w:tcPr/>
          <w:p>
            <w:pPr>
              <w:pStyle w:val="Compact"/>
              <w:jc w:val="right"/>
            </w:pPr>
            <w:r>
              <w:t xml:space="preserve">-620 bps</w:t>
            </w:r>
          </w:p>
        </w:tc>
      </w:tr>
      <w:tr>
        <w:tc>
          <w:tcPr/>
          <w:p>
            <w:pPr>
              <w:pStyle w:val="Compact"/>
            </w:pPr>
            <w:r>
              <w:t xml:space="preserve">Operating cash flow</w:t>
            </w:r>
          </w:p>
        </w:tc>
        <w:tc>
          <w:tcPr/>
          <w:p>
            <w:pPr>
              <w:pStyle w:val="Compact"/>
              <w:jc w:val="right"/>
            </w:pPr>
            <w:r>
              <w:t xml:space="preserve">$1.61B</w:t>
            </w:r>
          </w:p>
        </w:tc>
        <w:tc>
          <w:tcPr/>
          <w:p>
            <w:pPr>
              <w:pStyle w:val="Compact"/>
              <w:jc w:val="right"/>
            </w:pPr>
            <w:r>
              <w:t xml:space="preserve">-27%</w:t>
            </w:r>
          </w:p>
        </w:tc>
      </w:tr>
      <w:tr>
        <w:tc>
          <w:tcPr/>
          <w:p>
            <w:pPr>
              <w:pStyle w:val="Compact"/>
            </w:pPr>
            <w:r>
              <w:t xml:space="preserve">Free cash flow</w:t>
            </w:r>
          </w:p>
        </w:tc>
        <w:tc>
          <w:tcPr/>
          <w:p>
            <w:pPr>
              <w:pStyle w:val="Compact"/>
              <w:jc w:val="right"/>
            </w:pPr>
            <w:r>
              <w:t xml:space="preserve">$322M</w:t>
            </w:r>
          </w:p>
        </w:tc>
        <w:tc>
          <w:tcPr/>
          <w:p>
            <w:pPr>
              <w:pStyle w:val="Compact"/>
              <w:jc w:val="right"/>
            </w:pPr>
            <w:r>
              <w:t xml:space="preserve">-72%</w:t>
            </w:r>
          </w:p>
        </w:tc>
      </w:tr>
      <w:tr>
        <w:tc>
          <w:tcPr/>
          <w:p>
            <w:pPr>
              <w:pStyle w:val="Compact"/>
            </w:pPr>
            <w:r>
              <w:t xml:space="preserve">Average fuel price</w:t>
            </w:r>
          </w:p>
        </w:tc>
        <w:tc>
          <w:tcPr/>
          <w:p>
            <w:pPr>
              <w:pStyle w:val="Compact"/>
              <w:jc w:val="right"/>
            </w:pPr>
            <w:r>
              <w:t xml:space="preserve">$4.19/gallon</w:t>
            </w:r>
          </w:p>
        </w:tc>
        <w:tc>
          <w:tcPr/>
          <w:p>
            <w:pPr>
              <w:pStyle w:val="Compact"/>
              <w:jc w:val="right"/>
            </w:pPr>
            <w:r>
              <w:t xml:space="preserve">+79%</w:t>
            </w:r>
          </w:p>
        </w:tc>
      </w:tr>
    </w:tbl>
    <w:p>
      <w:pPr>
        <w:pStyle w:val="BodyText"/>
      </w:pPr>
      <w:r>
        <w:t xml:space="preserve">Adjusted EPS finished near the top of United’s prior</w:t>
      </w:r>
      <w:r>
        <w:t xml:space="preserve"> </w:t>
      </w:r>
      <m:oMath>
        <m:r>
          <m:t>1</m:t>
        </m:r>
        <m:r>
          <m:rPr>
            <m:sty m:val="p"/>
          </m:rPr>
          <m:t>−</m:t>
        </m:r>
      </m:oMath>
      <w:r>
        <w:t xml:space="preserve">2 guidance. Revenue quality was particularly encouraging: premium revenue increased 16%, contracted business revenue 27%, loyalty revenue 11%, Basic Economy revenue 11% and cargo revenue 23%. Domestic and international PRASM rose 12.2% and 12.0%, respectively. (</w:t>
      </w:r>
      <w:hyperlink r:id="rId11">
        <w:r>
          <w:rPr>
            <w:rStyle w:val="Hyperlink"/>
          </w:rPr>
          <w:t xml:space="preserve">prnewswire.com</w:t>
        </w:r>
      </w:hyperlink>
      <w:r>
        <w:t xml:space="preserve">)</w:t>
      </w:r>
    </w:p>
    <w:p>
      <w:pPr>
        <w:pStyle w:val="BodyText"/>
      </w:pPr>
      <w:r>
        <w:t xml:space="preserve">The offset was fuel. Aircraft-fuel expense increased 84% to $5.1 billion, causing adjusted pre-tax income to fall roughly 50% despite the revenue growth. That makes Q2 less a normal earnings comparison than a stress test of United’s pricing and network strategy.</w:t>
      </w:r>
    </w:p>
    <w:bookmarkEnd w:id="12"/>
    <w:bookmarkStart w:id="14" w:name="Xa819842e84525347becc0582f5aa8a60bb468f5"/>
    <w:p>
      <w:pPr>
        <w:pStyle w:val="Heading2"/>
      </w:pPr>
      <w:r>
        <w:t xml:space="preserve">Guidance: better full year, softer near term</w:t>
      </w:r>
    </w:p>
    <w:p>
      <w:pPr>
        <w:pStyle w:val="FirstParagraph"/>
      </w:pPr>
      <w:r>
        <w:t xml:space="preserve">United provided:</w:t>
      </w:r>
    </w:p>
    <w:p>
      <w:pPr>
        <w:pStyle w:val="Compact"/>
        <w:numPr>
          <w:ilvl w:val="0"/>
          <w:numId w:val="1002"/>
        </w:numPr>
      </w:pPr>
      <w:r>
        <w:rPr>
          <w:b/>
          <w:bCs/>
        </w:rPr>
        <w:t xml:space="preserve">Q3 adjusted EPS:</w:t>
      </w:r>
      <w:r>
        <w:t xml:space="preserve"> </w:t>
      </w:r>
      <m:oMath>
        <m:r>
          <m:t>2.50</m:t>
        </m:r>
        <m:r>
          <m:rPr>
            <m:sty m:val="p"/>
          </m:rPr>
          <m:t>−</m:t>
        </m:r>
      </m:oMath>
      <w:r>
        <w:t xml:space="preserve">3.50</w:t>
      </w:r>
    </w:p>
    <w:p>
      <w:pPr>
        <w:pStyle w:val="Compact"/>
        <w:numPr>
          <w:ilvl w:val="0"/>
          <w:numId w:val="1002"/>
        </w:numPr>
      </w:pPr>
      <w:r>
        <w:rPr>
          <w:b/>
          <w:bCs/>
        </w:rPr>
        <w:t xml:space="preserve">FY2026 adjusted EPS:</w:t>
      </w:r>
      <w:r>
        <w:t xml:space="preserve"> </w:t>
      </w:r>
      <m:oMath>
        <m:r>
          <m:t>9</m:t>
        </m:r>
        <m:r>
          <m:rPr>
            <m:sty m:val="p"/>
          </m:rPr>
          <m:t>−</m:t>
        </m:r>
      </m:oMath>
      <w:r>
        <w:t xml:space="preserve">11, versus the previous</w:t>
      </w:r>
      <w:r>
        <w:t xml:space="preserve"> </w:t>
      </w:r>
      <m:oMath>
        <m:r>
          <m:t>7</m:t>
        </m:r>
        <m:r>
          <m:rPr>
            <m:sty m:val="p"/>
          </m:rPr>
          <m:t>−</m:t>
        </m:r>
      </m:oMath>
      <w:r>
        <w:t xml:space="preserve">11 range</w:t>
      </w:r>
    </w:p>
    <w:p>
      <w:pPr>
        <w:pStyle w:val="Compact"/>
        <w:numPr>
          <w:ilvl w:val="0"/>
          <w:numId w:val="1002"/>
        </w:numPr>
      </w:pPr>
      <w:r>
        <w:rPr>
          <w:b/>
          <w:bCs/>
        </w:rPr>
        <w:t xml:space="preserve">Q3 fuel assumption:</w:t>
      </w:r>
      <w:r>
        <w:t xml:space="preserve"> </w:t>
      </w:r>
      <w:r>
        <w:t xml:space="preserve">approximately $3.69 per gallon</w:t>
      </w:r>
    </w:p>
    <w:p>
      <w:pPr>
        <w:pStyle w:val="Compact"/>
        <w:numPr>
          <w:ilvl w:val="0"/>
          <w:numId w:val="1002"/>
        </w:numPr>
      </w:pPr>
      <w:r>
        <w:rPr>
          <w:b/>
          <w:bCs/>
        </w:rPr>
        <w:t xml:space="preserve">2026 adjusted capital spending:</w:t>
      </w:r>
      <w:r>
        <w:t xml:space="preserve"> </w:t>
      </w:r>
      <w:r>
        <w:t xml:space="preserve">approximately $7.5 billion</w:t>
      </w:r>
    </w:p>
    <w:p>
      <w:pPr>
        <w:pStyle w:val="Compact"/>
        <w:numPr>
          <w:ilvl w:val="0"/>
          <w:numId w:val="1002"/>
        </w:numPr>
      </w:pPr>
      <w:r>
        <w:rPr>
          <w:b/>
          <w:bCs/>
        </w:rPr>
        <w:t xml:space="preserve">Q3 fuel-cost recovery:</w:t>
      </w:r>
      <w:r>
        <w:t xml:space="preserve"> </w:t>
      </w:r>
      <w:r>
        <w:t xml:space="preserve">80%-90%</w:t>
      </w:r>
    </w:p>
    <w:p>
      <w:pPr>
        <w:pStyle w:val="Compact"/>
        <w:numPr>
          <w:ilvl w:val="0"/>
          <w:numId w:val="1002"/>
        </w:numPr>
      </w:pPr>
      <w:r>
        <w:rPr>
          <w:b/>
          <w:bCs/>
        </w:rPr>
        <w:t xml:space="preserve">Q4 fuel-cost recovery:</w:t>
      </w:r>
      <w:r>
        <w:t xml:space="preserve"> </w:t>
      </w:r>
      <w:r>
        <w:t xml:space="preserve">100%</w:t>
      </w:r>
    </w:p>
    <w:p>
      <w:pPr>
        <w:pStyle w:val="FirstParagraph"/>
      </w:pPr>
      <w:r>
        <w:t xml:space="preserve">Management said the latest rise in fuel since the beginning of July added approximately</w:t>
      </w:r>
      <w:r>
        <w:t xml:space="preserve"> </w:t>
      </w:r>
      <m:oMath>
        <m:r>
          <m:t>575</m:t>
        </m:r>
        <m:r>
          <m:t>m</m:t>
        </m:r>
        <m:r>
          <m:t>i</m:t>
        </m:r>
        <m:r>
          <m:t>l</m:t>
        </m:r>
        <m:r>
          <m:t>l</m:t>
        </m:r>
        <m:r>
          <m:t>i</m:t>
        </m:r>
        <m:r>
          <m:t>o</m:t>
        </m:r>
        <m:r>
          <m:t>n</m:t>
        </m:r>
        <m:r>
          <m:t>o</m:t>
        </m:r>
        <m:r>
          <m:t>f</m:t>
        </m:r>
        <m:r>
          <m:t>Q</m:t>
        </m:r>
        <m:r>
          <m:t>3</m:t>
        </m:r>
        <m:r>
          <m:t>e</m:t>
        </m:r>
        <m:r>
          <m:t>x</m:t>
        </m:r>
        <m:r>
          <m:t>p</m:t>
        </m:r>
        <m:r>
          <m:t>e</m:t>
        </m:r>
        <m:r>
          <m:t>n</m:t>
        </m:r>
        <m:r>
          <m:t>s</m:t>
        </m:r>
        <m:r>
          <m:t>e</m:t>
        </m:r>
        <m:r>
          <m:rPr>
            <m:sty m:val="p"/>
          </m:rPr>
          <m:t>*</m:t>
        </m:r>
        <m:r>
          <m:rPr>
            <m:sty m:val="p"/>
          </m:rPr>
          <m:t>*</m:t>
        </m:r>
        <m:r>
          <m:rPr>
            <m:sty m:val="p"/>
          </m:rPr>
          <m:t>,</m:t>
        </m:r>
        <m:r>
          <m:t>e</m:t>
        </m:r>
        <m:r>
          <m:t>q</m:t>
        </m:r>
        <m:r>
          <m:t>u</m:t>
        </m:r>
        <m:r>
          <m:t>i</m:t>
        </m:r>
        <m:r>
          <m:t>v</m:t>
        </m:r>
        <m:r>
          <m:t>a</m:t>
        </m:r>
        <m:r>
          <m:t>l</m:t>
        </m:r>
        <m:r>
          <m:t>e</m:t>
        </m:r>
        <m:r>
          <m:t>n</m:t>
        </m:r>
        <m:r>
          <m:t>t</m:t>
        </m:r>
        <m:r>
          <m:t>t</m:t>
        </m:r>
        <m:r>
          <m:t>o</m:t>
        </m:r>
        <m:r>
          <m:rPr>
            <m:sty m:val="p"/>
          </m:rPr>
          <m:t>*</m:t>
        </m:r>
        <m:r>
          <m:rPr>
            <m:sty m:val="p"/>
          </m:rPr>
          <m:t>*</m:t>
        </m:r>
      </m:oMath>
      <w:r>
        <w:rPr>
          <w:b/>
          <w:bCs/>
        </w:rPr>
        <w:t xml:space="preserve">1.12 per share</w:t>
      </w:r>
      <w:r>
        <w:t xml:space="preserve">. If fuel returns to early-July levels, United expects to exceed the high end of both its Q3 and full-year EPS ranges. (</w:t>
      </w:r>
      <w:hyperlink r:id="rId13">
        <w:r>
          <w:rPr>
            <w:rStyle w:val="Hyperlink"/>
          </w:rPr>
          <w:t xml:space="preserve">ir.united.com</w:t>
        </w:r>
      </w:hyperlink>
      <w:r>
        <w:t xml:space="preserve">)</w:t>
      </w:r>
    </w:p>
    <w:p>
      <w:pPr>
        <w:pStyle w:val="BodyText"/>
      </w:pPr>
      <w:r>
        <w:t xml:space="preserve">The outlook’s most aggressive assumption is on revenue: United expects Q3 and Q4 TRASM growth to</w:t>
      </w:r>
      <w:r>
        <w:t xml:space="preserve"> </w:t>
      </w:r>
      <w:r>
        <w:rPr>
          <w:b/>
          <w:bCs/>
        </w:rPr>
        <w:t xml:space="preserve">exceed Q2’s already strong 12.1% rate</w:t>
      </w:r>
      <w:r>
        <w:t xml:space="preserve">. That is the principal claim management will need to substantiate.</w:t>
      </w:r>
    </w:p>
    <w:p>
      <w:pPr>
        <w:pStyle w:val="BodyText"/>
      </w:pPr>
      <w:r>
        <w:t xml:space="preserve">United has earned</w:t>
      </w:r>
      <w:r>
        <w:t xml:space="preserve"> </w:t>
      </w:r>
      <m:oMath>
        <m:r>
          <m:t>3.18</m:t>
        </m:r>
        <m:r>
          <m:t>i</m:t>
        </m:r>
        <m:r>
          <m:t>n</m:t>
        </m:r>
        <m:r>
          <m:t>a</m:t>
        </m:r>
        <m:r>
          <m:t>d</m:t>
        </m:r>
        <m:r>
          <m:t>j</m:t>
        </m:r>
        <m:r>
          <m:t>u</m:t>
        </m:r>
        <m:r>
          <m:t>s</m:t>
        </m:r>
        <m:r>
          <m:t>t</m:t>
        </m:r>
        <m:r>
          <m:t>e</m:t>
        </m:r>
        <m:r>
          <m:t>d</m:t>
        </m:r>
        <m:r>
          <m:t>E</m:t>
        </m:r>
        <m:r>
          <m:t>P</m:t>
        </m:r>
        <m:r>
          <m:t>S</m:t>
        </m:r>
        <m:r>
          <m:t>t</m:t>
        </m:r>
        <m:r>
          <m:t>h</m:t>
        </m:r>
        <m:r>
          <m:t>r</m:t>
        </m:r>
        <m:r>
          <m:t>o</m:t>
        </m:r>
        <m:r>
          <m:t>u</m:t>
        </m:r>
        <m:r>
          <m:t>g</m:t>
        </m:r>
        <m:r>
          <m:t>h</m:t>
        </m:r>
        <m:r>
          <m:t>t</m:t>
        </m:r>
        <m:r>
          <m:t>h</m:t>
        </m:r>
        <m:r>
          <m:t>e</m:t>
        </m:r>
        <m:r>
          <m:t>f</m:t>
        </m:r>
        <m:r>
          <m:t>i</m:t>
        </m:r>
        <m:r>
          <m:t>r</m:t>
        </m:r>
        <m:r>
          <m:t>s</m:t>
        </m:r>
        <m:r>
          <m:t>t</m:t>
        </m:r>
        <m:r>
          <m:t>h</m:t>
        </m:r>
        <m:r>
          <m:t>a</m:t>
        </m:r>
        <m:r>
          <m:t>l</m:t>
        </m:r>
        <m:r>
          <m:t>f</m:t>
        </m:r>
        <m:r>
          <m:rPr>
            <m:sty m:val="p"/>
          </m:rPr>
          <m:t>.</m:t>
        </m:r>
        <m:r>
          <m:t>A</m:t>
        </m:r>
        <m:r>
          <m:t>t</m:t>
        </m:r>
        <m:r>
          <m:t>t</m:t>
        </m:r>
        <m:r>
          <m:t>h</m:t>
        </m:r>
        <m:r>
          <m:t>e</m:t>
        </m:r>
        <m:r>
          <m:t>m</m:t>
        </m:r>
        <m:r>
          <m:t>i</m:t>
        </m:r>
        <m:r>
          <m:t>d</m:t>
        </m:r>
        <m:r>
          <m:t>p</m:t>
        </m:r>
        <m:r>
          <m:t>o</m:t>
        </m:r>
        <m:r>
          <m:t>i</m:t>
        </m:r>
        <m:r>
          <m:t>n</m:t>
        </m:r>
        <m:r>
          <m:t>t</m:t>
        </m:r>
        <m:r>
          <m:t>o</m:t>
        </m:r>
        <m:r>
          <m:t>f</m:t>
        </m:r>
        <m:r>
          <m:t>b</m:t>
        </m:r>
        <m:r>
          <m:t>o</m:t>
        </m:r>
        <m:r>
          <m:t>t</m:t>
        </m:r>
        <m:r>
          <m:t>h</m:t>
        </m:r>
        <m:r>
          <m:t>g</m:t>
        </m:r>
        <m:r>
          <m:t>u</m:t>
        </m:r>
        <m:r>
          <m:t>i</m:t>
        </m:r>
        <m:r>
          <m:t>d</m:t>
        </m:r>
        <m:r>
          <m:t>a</m:t>
        </m:r>
        <m:r>
          <m:t>n</m:t>
        </m:r>
        <m:r>
          <m:t>c</m:t>
        </m:r>
        <m:r>
          <m:t>e</m:t>
        </m:r>
        <m:r>
          <m:t>r</m:t>
        </m:r>
        <m:r>
          <m:t>a</m:t>
        </m:r>
        <m:r>
          <m:t>n</m:t>
        </m:r>
        <m:r>
          <m:t>g</m:t>
        </m:r>
        <m:r>
          <m:t>e</m:t>
        </m:r>
        <m:r>
          <m:t>s</m:t>
        </m:r>
        <m:r>
          <m:rPr>
            <m:sty m:val="p"/>
          </m:rPr>
          <m:t>,</m:t>
        </m:r>
        <m:r>
          <m:t>t</m:t>
        </m:r>
        <m:r>
          <m:t>h</m:t>
        </m:r>
        <m:r>
          <m:t>e</m:t>
        </m:r>
        <m:r>
          <m:t>i</m:t>
        </m:r>
        <m:r>
          <m:t>m</m:t>
        </m:r>
        <m:r>
          <m:t>p</m:t>
        </m:r>
        <m:r>
          <m:t>l</m:t>
        </m:r>
        <m:r>
          <m:t>i</m:t>
        </m:r>
        <m:r>
          <m:t>e</m:t>
        </m:r>
        <m:r>
          <m:t>d</m:t>
        </m:r>
        <m:r>
          <m:t>Q</m:t>
        </m:r>
        <m:r>
          <m:t>4</m:t>
        </m:r>
        <m:r>
          <m:t>a</m:t>
        </m:r>
        <m:r>
          <m:t>d</m:t>
        </m:r>
        <m:r>
          <m:t>j</m:t>
        </m:r>
        <m:r>
          <m:t>u</m:t>
        </m:r>
        <m:r>
          <m:t>s</m:t>
        </m:r>
        <m:r>
          <m:t>t</m:t>
        </m:r>
        <m:r>
          <m:t>e</m:t>
        </m:r>
        <m:r>
          <m:t>d</m:t>
        </m:r>
        <m:r>
          <m:t>E</m:t>
        </m:r>
        <m:r>
          <m:t>P</m:t>
        </m:r>
        <m:r>
          <m:t>S</m:t>
        </m:r>
        <m:r>
          <m:t>i</m:t>
        </m:r>
        <m:r>
          <m:t>s</m:t>
        </m:r>
        <m:r>
          <m:t>a</m:t>
        </m:r>
        <m:r>
          <m:t>p</m:t>
        </m:r>
        <m:r>
          <m:t>p</m:t>
        </m:r>
        <m:r>
          <m:t>r</m:t>
        </m:r>
        <m:r>
          <m:t>o</m:t>
        </m:r>
        <m:r>
          <m:t>x</m:t>
        </m:r>
        <m:r>
          <m:t>i</m:t>
        </m:r>
        <m:r>
          <m:t>m</m:t>
        </m:r>
        <m:r>
          <m:t>a</m:t>
        </m:r>
        <m:r>
          <m:t>t</m:t>
        </m:r>
        <m:r>
          <m:t>e</m:t>
        </m:r>
        <m:r>
          <m:t>l</m:t>
        </m:r>
        <m:r>
          <m:t>y</m:t>
        </m:r>
        <m:r>
          <m:rPr>
            <m:sty m:val="p"/>
          </m:rPr>
          <m:t>*</m:t>
        </m:r>
        <m:r>
          <m:rPr>
            <m:sty m:val="p"/>
          </m:rPr>
          <m:t>*</m:t>
        </m:r>
      </m:oMath>
      <w:r>
        <w:t xml:space="preserve">3.82**:</w:t>
      </w:r>
    </w:p>
    <w:p>
      <w:pPr>
        <w:pStyle w:val="BlockText"/>
      </w:pPr>
      <w:r>
        <w:t xml:space="preserve">$10.00 FY midpoint − $3.18 first-half EPS − $3.00 Q3 midpoint = $3.82</w:t>
      </w:r>
    </w:p>
    <w:bookmarkEnd w:id="14"/>
    <w:bookmarkStart w:id="20" w:name="five-issues-to-watch-on-the-call"/>
    <w:p>
      <w:pPr>
        <w:pStyle w:val="Heading2"/>
      </w:pPr>
      <w:r>
        <w:t xml:space="preserve">Five issues to watch on the call</w:t>
      </w:r>
    </w:p>
    <w:bookmarkStart w:id="15" w:name="Xf757a56b53a20045bb09e01b1833d8404e5bdc8"/>
    <w:p>
      <w:pPr>
        <w:pStyle w:val="Heading3"/>
      </w:pPr>
      <w:r>
        <w:t xml:space="preserve">1. Can higher fares survive after summer?</w:t>
      </w:r>
    </w:p>
    <w:p>
      <w:pPr>
        <w:pStyle w:val="FirstParagraph"/>
      </w:pPr>
      <w:r>
        <w:t xml:space="preserve">United recovered approximately half of the Q2 fuel increase and expects full recovery by Q4. Investors should listen for:</w:t>
      </w:r>
    </w:p>
    <w:p>
      <w:pPr>
        <w:pStyle w:val="Compact"/>
        <w:numPr>
          <w:ilvl w:val="0"/>
          <w:numId w:val="1003"/>
        </w:numPr>
      </w:pPr>
      <w:r>
        <w:t xml:space="preserve">Current booking and yield trends for August through October</w:t>
      </w:r>
    </w:p>
    <w:p>
      <w:pPr>
        <w:pStyle w:val="Compact"/>
        <w:numPr>
          <w:ilvl w:val="0"/>
          <w:numId w:val="1003"/>
        </w:numPr>
      </w:pPr>
      <w:r>
        <w:t xml:space="preserve">Any decline in passenger volumes as fares rise</w:t>
      </w:r>
    </w:p>
    <w:p>
      <w:pPr>
        <w:pStyle w:val="Compact"/>
        <w:numPr>
          <w:ilvl w:val="0"/>
          <w:numId w:val="1003"/>
        </w:numPr>
      </w:pPr>
      <w:r>
        <w:t xml:space="preserve">Differences between premium, corporate and price-sensitive leisure demand</w:t>
      </w:r>
    </w:p>
    <w:p>
      <w:pPr>
        <w:pStyle w:val="Compact"/>
        <w:numPr>
          <w:ilvl w:val="0"/>
          <w:numId w:val="1003"/>
        </w:numPr>
      </w:pPr>
      <w:r>
        <w:t xml:space="preserve">Whether international pricing remains stronger than domestic pricing</w:t>
      </w:r>
    </w:p>
    <w:p>
      <w:pPr>
        <w:pStyle w:val="Compact"/>
        <w:numPr>
          <w:ilvl w:val="0"/>
          <w:numId w:val="1003"/>
        </w:numPr>
      </w:pPr>
      <w:r>
        <w:t xml:space="preserve">How much of the fare increase might remain if fuel eventually declines</w:t>
      </w:r>
    </w:p>
    <w:p>
      <w:pPr>
        <w:pStyle w:val="FirstParagraph"/>
      </w:pPr>
      <w:r>
        <w:t xml:space="preserve">This is the most important debate. If pricing persists without material demand destruction, United may emerge from the fuel shock with a structurally higher revenue base.</w:t>
      </w:r>
    </w:p>
    <w:bookmarkEnd w:id="15"/>
    <w:bookmarkStart w:id="16" w:name="X0ce984eff53755096bbfd00a08efd694eca3191"/>
    <w:p>
      <w:pPr>
        <w:pStyle w:val="Heading3"/>
      </w:pPr>
      <w:r>
        <w:t xml:space="preserve">2. What supports accelerating TRASM growth?</w:t>
      </w:r>
    </w:p>
    <w:p>
      <w:pPr>
        <w:pStyle w:val="FirstParagraph"/>
      </w:pPr>
      <w:r>
        <w:t xml:space="preserve">Q2’s 12.1% TRASM growth was already unusually strong. Management should explain what drives further acceleration:</w:t>
      </w:r>
    </w:p>
    <w:p>
      <w:pPr>
        <w:pStyle w:val="Compact"/>
        <w:numPr>
          <w:ilvl w:val="0"/>
          <w:numId w:val="1004"/>
        </w:numPr>
      </w:pPr>
      <w:r>
        <w:t xml:space="preserve">Fare increases versus mix and merchandising</w:t>
      </w:r>
    </w:p>
    <w:p>
      <w:pPr>
        <w:pStyle w:val="Compact"/>
        <w:numPr>
          <w:ilvl w:val="0"/>
          <w:numId w:val="1004"/>
        </w:numPr>
      </w:pPr>
      <w:r>
        <w:t xml:space="preserve">Reduced off-peak capacity</w:t>
      </w:r>
    </w:p>
    <w:p>
      <w:pPr>
        <w:pStyle w:val="Compact"/>
        <w:numPr>
          <w:ilvl w:val="0"/>
          <w:numId w:val="1004"/>
        </w:numPr>
      </w:pPr>
      <w:r>
        <w:t xml:space="preserve">Easier Newark comparisons</w:t>
      </w:r>
    </w:p>
    <w:p>
      <w:pPr>
        <w:pStyle w:val="Compact"/>
        <w:numPr>
          <w:ilvl w:val="0"/>
          <w:numId w:val="1004"/>
        </w:numPr>
      </w:pPr>
      <w:r>
        <w:t xml:space="preserve">Corporate and close-in bookings</w:t>
      </w:r>
    </w:p>
    <w:p>
      <w:pPr>
        <w:pStyle w:val="Compact"/>
        <w:numPr>
          <w:ilvl w:val="0"/>
          <w:numId w:val="1004"/>
        </w:numPr>
      </w:pPr>
      <w:r>
        <w:t xml:space="preserve">Premium-cabin demand</w:t>
      </w:r>
    </w:p>
    <w:p>
      <w:pPr>
        <w:pStyle w:val="Compact"/>
        <w:numPr>
          <w:ilvl w:val="0"/>
          <w:numId w:val="1004"/>
        </w:numPr>
      </w:pPr>
      <w:r>
        <w:t xml:space="preserve">New premium “base” fares and digital upselling</w:t>
      </w:r>
    </w:p>
    <w:p>
      <w:pPr>
        <w:pStyle w:val="Compact"/>
        <w:numPr>
          <w:ilvl w:val="0"/>
          <w:numId w:val="1004"/>
        </w:numPr>
      </w:pPr>
      <w:r>
        <w:t xml:space="preserve">MileagePlus card acquisition and spending</w:t>
      </w:r>
    </w:p>
    <w:p>
      <w:pPr>
        <w:pStyle w:val="FirstParagraph"/>
      </w:pPr>
      <w:r>
        <w:t xml:space="preserve">A favorable call would include quantified forward-booking or yield data rather than relying mainly on broad statements about strong demand.</w:t>
      </w:r>
    </w:p>
    <w:bookmarkEnd w:id="16"/>
    <w:bookmarkStart w:id="17" w:name="Xaa9e6458722e162677a4d7a38a53b81bc5876d5"/>
    <w:p>
      <w:pPr>
        <w:pStyle w:val="Heading3"/>
      </w:pPr>
      <w:r>
        <w:t xml:space="preserve">3. How much more capacity will be removed?</w:t>
      </w:r>
    </w:p>
    <w:p>
      <w:pPr>
        <w:pStyle w:val="FirstParagraph"/>
      </w:pPr>
      <w:r>
        <w:t xml:space="preserve">United expects Q4 capacity to fall below currently published schedules, partly because of the extended FAA order at Chicago O’Hare. It is also prepared to cut more marginal flying if fuel remains elevated. (</w:t>
      </w:r>
      <w:hyperlink r:id="rId13">
        <w:r>
          <w:rPr>
            <w:rStyle w:val="Hyperlink"/>
          </w:rPr>
          <w:t xml:space="preserve">ir.united.com</w:t>
        </w:r>
      </w:hyperlink>
      <w:r>
        <w:t xml:space="preserve">)</w:t>
      </w:r>
    </w:p>
    <w:p>
      <w:pPr>
        <w:pStyle w:val="BodyText"/>
      </w:pPr>
      <w:r>
        <w:t xml:space="preserve">The trade-off is important:</w:t>
      </w:r>
    </w:p>
    <w:p>
      <w:pPr>
        <w:pStyle w:val="Compact"/>
        <w:numPr>
          <w:ilvl w:val="0"/>
          <w:numId w:val="1005"/>
        </w:numPr>
      </w:pPr>
      <w:r>
        <w:t xml:space="preserve">Capacity reductions support fares, margins and cash flow.</w:t>
      </w:r>
    </w:p>
    <w:p>
      <w:pPr>
        <w:pStyle w:val="Compact"/>
        <w:numPr>
          <w:ilvl w:val="0"/>
          <w:numId w:val="1005"/>
        </w:numPr>
      </w:pPr>
      <w:r>
        <w:t xml:space="preserve">But fewer ASMs pressure CASM-ex and can limit growth.</w:t>
      </w:r>
    </w:p>
    <w:p>
      <w:pPr>
        <w:pStyle w:val="Compact"/>
        <w:numPr>
          <w:ilvl w:val="0"/>
          <w:numId w:val="1005"/>
        </w:numPr>
      </w:pPr>
      <w:r>
        <w:t xml:space="preserve">United is simultaneously taking substantial aircraft deliveries, with its mainline fleet expected to rise from 1,122 aircraft at Q2-end to 1,173 by year-end.</w:t>
      </w:r>
    </w:p>
    <w:p>
      <w:pPr>
        <w:pStyle w:val="FirstParagraph"/>
      </w:pPr>
      <w:r>
        <w:t xml:space="preserve">Investors should ask how the company will manage aircraft utilization and labor efficiency if scheduled capacity continues to fall.</w:t>
      </w:r>
    </w:p>
    <w:bookmarkEnd w:id="17"/>
    <w:bookmarkStart w:id="18" w:name="X7077cc25e6b2dba7c57bbd6e050fdf71d0b0d72"/>
    <w:p>
      <w:pPr>
        <w:pStyle w:val="Heading3"/>
      </w:pPr>
      <w:r>
        <w:t xml:space="preserve">4. Cash flow and the balance sheet</w:t>
      </w:r>
    </w:p>
    <w:p>
      <w:pPr>
        <w:pStyle w:val="FirstParagraph"/>
      </w:pPr>
      <w:r>
        <w:t xml:space="preserve">The balance sheet is liquid but not yet clean:</w:t>
      </w:r>
    </w:p>
    <w:p>
      <w:pPr>
        <w:pStyle w:val="Compact"/>
        <w:numPr>
          <w:ilvl w:val="0"/>
          <w:numId w:val="1006"/>
        </w:numPr>
      </w:pPr>
      <w:r>
        <w:t xml:space="preserve">Available liquidity: $19.6 billion</w:t>
      </w:r>
    </w:p>
    <w:p>
      <w:pPr>
        <w:pStyle w:val="Compact"/>
        <w:numPr>
          <w:ilvl w:val="0"/>
          <w:numId w:val="1006"/>
        </w:numPr>
      </w:pPr>
      <w:r>
        <w:t xml:space="preserve">Debt and finance-related obligations: $26.5 billion</w:t>
      </w:r>
    </w:p>
    <w:p>
      <w:pPr>
        <w:pStyle w:val="Compact"/>
        <w:numPr>
          <w:ilvl w:val="0"/>
          <w:numId w:val="1006"/>
        </w:numPr>
      </w:pPr>
      <w:r>
        <w:t xml:space="preserve">Net leverage: 2.2x, versus 2.0x a year earlier</w:t>
      </w:r>
    </w:p>
    <w:p>
      <w:pPr>
        <w:pStyle w:val="Compact"/>
        <w:numPr>
          <w:ilvl w:val="0"/>
          <w:numId w:val="1006"/>
        </w:numPr>
      </w:pPr>
      <w:r>
        <w:t xml:space="preserve">Q2 free cash flow: only $322 million</w:t>
      </w:r>
    </w:p>
    <w:p>
      <w:pPr>
        <w:pStyle w:val="FirstParagraph"/>
      </w:pPr>
      <w:r>
        <w:t xml:space="preserve">United raised $3.7 billion of additional liquidity during the quarter and prepaid approximately $1 billion of higher-cost debt. Management continues to target an investment-grade rating in 2026. (</w:t>
      </w:r>
      <w:hyperlink r:id="rId11">
        <w:r>
          <w:rPr>
            <w:rStyle w:val="Hyperlink"/>
          </w:rPr>
          <w:t xml:space="preserve">prnewswire.com</w:t>
        </w:r>
      </w:hyperlink>
      <w:r>
        <w:t xml:space="preserve">)</w:t>
      </w:r>
    </w:p>
    <w:p>
      <w:pPr>
        <w:pStyle w:val="BodyText"/>
      </w:pPr>
      <w:r>
        <w:t xml:space="preserve">The call should clarify whether excess cash will primarily fund aircraft, repay debt or support repurchases. Given fuel volatility and the investment-grade objective, buybacks are likely to remain subordinate to balance-sheet protection.</w:t>
      </w:r>
    </w:p>
    <w:bookmarkEnd w:id="18"/>
    <w:bookmarkStart w:id="19" w:name="X89f5a518c93fba116beb88ac561a4f56d944f1b"/>
    <w:p>
      <w:pPr>
        <w:pStyle w:val="Heading3"/>
      </w:pPr>
      <w:r>
        <w:t xml:space="preserve">5. Cost pressure beyond fuel</w:t>
      </w:r>
    </w:p>
    <w:p>
      <w:pPr>
        <w:pStyle w:val="FirstParagraph"/>
      </w:pPr>
      <w:r>
        <w:t xml:space="preserve">CASM-ex increased 6.1%, reflecting labor costs, reduced capacity leverage and continued investment in the product. United also expects</w:t>
      </w:r>
      <w:r>
        <w:t xml:space="preserve"> </w:t>
      </w:r>
      <m:oMath>
        <m:r>
          <m:t>135</m:t>
        </m:r>
        <m:r>
          <m:rPr>
            <m:sty m:val="p"/>
          </m:rPr>
          <m:t>−</m:t>
        </m:r>
      </m:oMath>
      <w:r>
        <w:t xml:space="preserve">220 million of Q3 profit-sharing expense.</w:t>
      </w:r>
    </w:p>
    <w:p>
      <w:pPr>
        <w:pStyle w:val="BodyText"/>
      </w:pPr>
      <w:r>
        <w:t xml:space="preserve">Key questions include:</w:t>
      </w:r>
    </w:p>
    <w:p>
      <w:pPr>
        <w:pStyle w:val="Compact"/>
        <w:numPr>
          <w:ilvl w:val="0"/>
          <w:numId w:val="1007"/>
        </w:numPr>
      </w:pPr>
      <w:r>
        <w:t xml:space="preserve">When CASM-ex growth begins to moderate</w:t>
      </w:r>
    </w:p>
    <w:p>
      <w:pPr>
        <w:pStyle w:val="Compact"/>
        <w:numPr>
          <w:ilvl w:val="0"/>
          <w:numId w:val="1007"/>
        </w:numPr>
      </w:pPr>
      <w:r>
        <w:t xml:space="preserve">How much cost is associated with temporary capacity changes</w:t>
      </w:r>
    </w:p>
    <w:p>
      <w:pPr>
        <w:pStyle w:val="Compact"/>
        <w:numPr>
          <w:ilvl w:val="0"/>
          <w:numId w:val="1007"/>
        </w:numPr>
      </w:pPr>
      <w:r>
        <w:t xml:space="preserve">Maintenance inflation and fleet complexity</w:t>
      </w:r>
    </w:p>
    <w:p>
      <w:pPr>
        <w:pStyle w:val="Compact"/>
        <w:numPr>
          <w:ilvl w:val="0"/>
          <w:numId w:val="1007"/>
        </w:numPr>
      </w:pPr>
      <w:r>
        <w:t xml:space="preserve">Labor productivity following new agreements</w:t>
      </w:r>
    </w:p>
    <w:p>
      <w:pPr>
        <w:pStyle w:val="Compact"/>
        <w:numPr>
          <w:ilvl w:val="0"/>
          <w:numId w:val="1007"/>
        </w:numPr>
      </w:pPr>
      <w:r>
        <w:t xml:space="preserve">Returns from Starlink, new interiors and premium-heavy aircraft</w:t>
      </w:r>
    </w:p>
    <w:bookmarkEnd w:id="19"/>
    <w:bookmarkEnd w:id="20"/>
    <w:bookmarkStart w:id="23" w:name="potential-stock-reactions"/>
    <w:p>
      <w:pPr>
        <w:pStyle w:val="Heading2"/>
      </w:pPr>
      <w:r>
        <w:t xml:space="preserve">Potential stock reactions</w:t>
      </w:r>
    </w:p>
    <w:bookmarkStart w:id="21" w:name="bullish-outcome"/>
    <w:p>
      <w:pPr>
        <w:pStyle w:val="Heading3"/>
      </w:pPr>
      <w:r>
        <w:t xml:space="preserve">Bullish outcome</w:t>
      </w:r>
    </w:p>
    <w:p>
      <w:pPr>
        <w:pStyle w:val="FirstParagraph"/>
      </w:pPr>
      <w:r>
        <w:t xml:space="preserve">The call would be constructive if management:</w:t>
      </w:r>
    </w:p>
    <w:p>
      <w:pPr>
        <w:pStyle w:val="Compact"/>
        <w:numPr>
          <w:ilvl w:val="0"/>
          <w:numId w:val="1008"/>
        </w:numPr>
      </w:pPr>
      <w:r>
        <w:t xml:space="preserve">Confirms TRASM growth above 12.1% for both Q3 and Q4</w:t>
      </w:r>
    </w:p>
    <w:p>
      <w:pPr>
        <w:pStyle w:val="Compact"/>
        <w:numPr>
          <w:ilvl w:val="0"/>
          <w:numId w:val="1008"/>
        </w:numPr>
      </w:pPr>
      <w:r>
        <w:t xml:space="preserve">Reports little or no demand elasticity despite higher fares</w:t>
      </w:r>
    </w:p>
    <w:p>
      <w:pPr>
        <w:pStyle w:val="Compact"/>
        <w:numPr>
          <w:ilvl w:val="0"/>
          <w:numId w:val="1008"/>
        </w:numPr>
      </w:pPr>
      <w:r>
        <w:t xml:space="preserve">Provides confidence in full fuel recovery by Q4</w:t>
      </w:r>
    </w:p>
    <w:p>
      <w:pPr>
        <w:pStyle w:val="Compact"/>
        <w:numPr>
          <w:ilvl w:val="0"/>
          <w:numId w:val="1008"/>
        </w:numPr>
      </w:pPr>
      <w:r>
        <w:t xml:space="preserve">Limits further capacity cuts to marginal flying</w:t>
      </w:r>
    </w:p>
    <w:p>
      <w:pPr>
        <w:pStyle w:val="Compact"/>
        <w:numPr>
          <w:ilvl w:val="0"/>
          <w:numId w:val="1008"/>
        </w:numPr>
      </w:pPr>
      <w:r>
        <w:t xml:space="preserve">Maintains the</w:t>
      </w:r>
      <w:r>
        <w:t xml:space="preserve"> </w:t>
      </w:r>
      <m:oMath>
        <m:r>
          <m:t>9</m:t>
        </m:r>
        <m:r>
          <m:rPr>
            <m:sty m:val="p"/>
          </m:rPr>
          <m:t>−</m:t>
        </m:r>
      </m:oMath>
      <w:r>
        <w:t xml:space="preserve">11 outlook despite current fuel prices</w:t>
      </w:r>
    </w:p>
    <w:p>
      <w:pPr>
        <w:pStyle w:val="Compact"/>
        <w:numPr>
          <w:ilvl w:val="0"/>
          <w:numId w:val="1008"/>
        </w:numPr>
      </w:pPr>
      <w:r>
        <w:t xml:space="preserve">Reiterates a credible path toward materially higher 2027 margins</w:t>
      </w:r>
    </w:p>
    <w:bookmarkEnd w:id="21"/>
    <w:bookmarkStart w:id="22" w:name="bearish-outcome"/>
    <w:p>
      <w:pPr>
        <w:pStyle w:val="Heading3"/>
      </w:pPr>
      <w:r>
        <w:t xml:space="preserve">Bearish outcome</w:t>
      </w:r>
    </w:p>
    <w:p>
      <w:pPr>
        <w:pStyle w:val="FirstParagraph"/>
      </w:pPr>
      <w:r>
        <w:t xml:space="preserve">The stock could come under pressure if:</w:t>
      </w:r>
    </w:p>
    <w:p>
      <w:pPr>
        <w:pStyle w:val="Compact"/>
        <w:numPr>
          <w:ilvl w:val="0"/>
          <w:numId w:val="1009"/>
        </w:numPr>
      </w:pPr>
      <w:r>
        <w:t xml:space="preserve">Higher fares begin reducing leisure or economy volumes</w:t>
      </w:r>
    </w:p>
    <w:p>
      <w:pPr>
        <w:pStyle w:val="Compact"/>
        <w:numPr>
          <w:ilvl w:val="0"/>
          <w:numId w:val="1009"/>
        </w:numPr>
      </w:pPr>
      <w:r>
        <w:t xml:space="preserve">Q3 EPS is tracking toward the bottom of the range</w:t>
      </w:r>
    </w:p>
    <w:p>
      <w:pPr>
        <w:pStyle w:val="Compact"/>
        <w:numPr>
          <w:ilvl w:val="0"/>
          <w:numId w:val="1009"/>
        </w:numPr>
      </w:pPr>
      <w:r>
        <w:t xml:space="preserve">Q4 fuel recovery depends on increasingly aggressive capacity cuts</w:t>
      </w:r>
    </w:p>
    <w:p>
      <w:pPr>
        <w:pStyle w:val="Compact"/>
        <w:numPr>
          <w:ilvl w:val="0"/>
          <w:numId w:val="1009"/>
        </w:numPr>
      </w:pPr>
      <w:r>
        <w:t xml:space="preserve">CASM-ex remains elevated into 2027</w:t>
      </w:r>
    </w:p>
    <w:p>
      <w:pPr>
        <w:pStyle w:val="Compact"/>
        <w:numPr>
          <w:ilvl w:val="0"/>
          <w:numId w:val="1009"/>
        </w:numPr>
      </w:pPr>
      <w:r>
        <w:t xml:space="preserve">Free cash flow expectations weaken</w:t>
      </w:r>
    </w:p>
    <w:p>
      <w:pPr>
        <w:pStyle w:val="Compact"/>
        <w:numPr>
          <w:ilvl w:val="0"/>
          <w:numId w:val="1009"/>
        </w:numPr>
      </w:pPr>
      <w:r>
        <w:t xml:space="preserve">Management backs away from its investment-grade timetable</w:t>
      </w:r>
    </w:p>
    <w:bookmarkEnd w:id="22"/>
    <w:bookmarkEnd w:id="23"/>
    <w:bookmarkStart w:id="24" w:name="bottom-line"/>
    <w:p>
      <w:pPr>
        <w:pStyle w:val="Heading2"/>
      </w:pPr>
      <w:r>
        <w:t xml:space="preserve">Bottom line</w:t>
      </w:r>
    </w:p>
    <w:p>
      <w:pPr>
        <w:pStyle w:val="FirstParagraph"/>
      </w:pPr>
      <w:r>
        <w:t xml:space="preserve">The quarter supports United’s argument that its network, premium product and loyalty strategy have created real pricing power. Revenue increased 16% while capacity rose only 3.5%, and the company raised its full-year guidance floor even after absorbing a multibillion-dollar fuel shock.</w:t>
      </w:r>
    </w:p>
    <w:p>
      <w:pPr>
        <w:pStyle w:val="BodyText"/>
      </w:pPr>
      <w:r>
        <w:t xml:space="preserve">However, the cost of that shock remains visible in a</w:t>
      </w:r>
      <w:r>
        <w:t xml:space="preserve"> </w:t>
      </w:r>
      <w:r>
        <w:rPr>
          <w:b/>
          <w:bCs/>
        </w:rPr>
        <w:t xml:space="preserve">4.8% adjusted pre-tax margin and sharply lower free cash flow</w:t>
      </w:r>
      <w:r>
        <w:t xml:space="preserve">. The call needs to demonstrate that Q2’s revenue strength is durable rather than simply the temporary result of emergency fare increases.</w:t>
      </w:r>
    </w:p>
    <w:p>
      <w:pPr>
        <w:pStyle w:val="BodyText"/>
      </w:pPr>
      <w:r>
        <w:rPr>
          <w:b/>
          <w:bCs/>
        </w:rPr>
        <w:t xml:space="preserve">The key number to listen for is forward unit revenue:</w:t>
      </w:r>
      <w:r>
        <w:t xml:space="preserve"> </w:t>
      </w:r>
      <w:r>
        <w:t xml:space="preserve">if management can credibly defend greater-than-12.1% TRASM growth through Q4 while maintaining demand, the report should reinforce the bull case. If demand is beginning to soften or further capacity reductions are required to defend fares, the raised full-year guidance will carry less weight.</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united.com/" TargetMode="External" /><Relationship Type="http://schemas.openxmlformats.org/officeDocument/2006/relationships/hyperlink" Id="rId13" Target="https://ir.united.com/static-files/bbcc202b-3988-4e38-824b-df21fbde597d" TargetMode="External" /><Relationship Type="http://schemas.openxmlformats.org/officeDocument/2006/relationships/hyperlink" Id="rId11" Target="https://www.prnewswire.com/news-releases/united-posts-q2-results-above-wall-street-expectations-and-raises-full-year-2026-adjusted-eps-guidance-despite-a-nearly-6-billion-increase-in-anticipated-fuel-costs-302826793.html" TargetMode="External" /></Relationships>
</file>

<file path=word/_rels/footnotes.xml.rels><?xml version="1.0" encoding="UTF-8"?><Relationships xmlns="http://schemas.openxmlformats.org/package/2006/relationships"><Relationship Type="http://schemas.openxmlformats.org/officeDocument/2006/relationships/hyperlink" Id="rId9" Target="https://ir.united.com/" TargetMode="External" /><Relationship Type="http://schemas.openxmlformats.org/officeDocument/2006/relationships/hyperlink" Id="rId13" Target="https://ir.united.com/static-files/bbcc202b-3988-4e38-824b-df21fbde597d" TargetMode="External" /><Relationship Type="http://schemas.openxmlformats.org/officeDocument/2006/relationships/hyperlink" Id="rId11" Target="https://www.prnewswire.com/news-releases/united-posts-q2-results-above-wall-street-expectations-and-raises-full-year-2026-adjusted-eps-guidance-despite-a-nearly-6-billion-increase-in-anticipated-fuel-costs-30282679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2026-07-16T01:25:29Z</dcterms:created>
  <dcterms:modified xsi:type="dcterms:W3CDTF">2026-07-16T01:25:29Z</dcterms:modified>
</cp:coreProperties>
</file>

<file path=docProps/custom.xml><?xml version="1.0" encoding="utf-8"?>
<Properties xmlns="http://schemas.openxmlformats.org/officeDocument/2006/custom-properties" xmlns:vt="http://schemas.openxmlformats.org/officeDocument/2006/docPropsVTypes"/>
</file>