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9" w:name="X9ff82c23adb65b3b38c893c537e94d690795b52"/>
    <w:p>
      <w:pPr>
        <w:pStyle w:val="Heading1"/>
      </w:pPr>
      <w:r>
        <w:t xml:space="preserve">UAL 2Q26 Earnings Call Preview — Focus Shifts to Fuel Recovery, Revenue Durability, and 2027 Margin Path</w:t>
      </w:r>
    </w:p>
    <w:p>
      <w:pPr>
        <w:pStyle w:val="BlockText"/>
      </w:pPr>
      <w:r>
        <w:rPr>
          <w:b/>
          <w:bCs/>
        </w:rPr>
        <w:t xml:space="preserve">Timing correction:</w:t>
      </w:r>
      <w:r>
        <w:t xml:space="preserve"> </w:t>
      </w:r>
      <w:r>
        <w:t xml:space="preserve">United released its</w:t>
      </w:r>
      <w:r>
        <w:t xml:space="preserve"> </w:t>
      </w:r>
      <w:r>
        <w:rPr>
          <w:b/>
          <w:bCs/>
        </w:rPr>
        <w:t xml:space="preserve">2Q26 earnings on July 15, 2026</w:t>
      </w:r>
      <w:r>
        <w:t xml:space="preserve">. The scheduled event is the</w:t>
      </w:r>
      <w:r>
        <w:t xml:space="preserve"> </w:t>
      </w:r>
      <w:r>
        <w:rPr>
          <w:b/>
          <w:bCs/>
        </w:rPr>
        <w:t xml:space="preserve">earnings call today, July 16, 2026, at 9:30 a.m. CDT / 10:30 a.m. EDT</w:t>
      </w:r>
      <w:r>
        <w:t xml:space="preserve">—not tomorrow. Accordingly, this preview focuses on the issues investors should watch in management’s call commentary and Q&amp;A.</w:t>
      </w:r>
    </w:p>
    <w:bookmarkStart w:id="9" w:name="investment-framing"/>
    <w:p>
      <w:pPr>
        <w:pStyle w:val="Heading2"/>
      </w:pPr>
      <w:r>
        <w:t xml:space="preserve">Investment framing</w:t>
      </w:r>
    </w:p>
    <w:p>
      <w:pPr>
        <w:pStyle w:val="FirstParagraph"/>
      </w:pPr>
      <w:r>
        <w:t xml:space="preserve">United has already cleared the immediate earnings hurdle: 2Q adjusted EPS of</w:t>
      </w:r>
      <w:r>
        <w:t xml:space="preserve"> </w:t>
      </w:r>
      <m:oMath>
        <m:r>
          <m:t>1.99</m:t>
        </m:r>
        <m:r>
          <m:rPr>
            <m:sty m:val="p"/>
          </m:rPr>
          <m:t>*</m:t>
        </m:r>
        <m:r>
          <m:rPr>
            <m:sty m:val="p"/>
          </m:rPr>
          <m:t>*</m:t>
        </m:r>
        <m:r>
          <m:t>l</m:t>
        </m:r>
        <m:r>
          <m:t>a</m:t>
        </m:r>
        <m:r>
          <m:t>n</m:t>
        </m:r>
        <m:r>
          <m:t>d</m:t>
        </m:r>
        <m:r>
          <m:t>e</m:t>
        </m:r>
        <m:r>
          <m:t>d</m:t>
        </m:r>
        <m:r>
          <m:t>n</m:t>
        </m:r>
        <m:r>
          <m:t>e</m:t>
        </m:r>
        <m:r>
          <m:t>a</m:t>
        </m:r>
        <m:r>
          <m:t>r</m:t>
        </m:r>
        <m:r>
          <m:t>t</m:t>
        </m:r>
        <m:r>
          <m:t>h</m:t>
        </m:r>
        <m:r>
          <m:t>e</m:t>
        </m:r>
        <m:r>
          <m:t>t</m:t>
        </m:r>
        <m:r>
          <m:t>o</m:t>
        </m:r>
        <m:r>
          <m:t>p</m:t>
        </m:r>
        <m:r>
          <m:t>o</m:t>
        </m:r>
        <m:r>
          <m:t>f</m:t>
        </m:r>
        <m:r>
          <m:t>i</m:t>
        </m:r>
        <m:r>
          <m:t>t</m:t>
        </m:r>
        <m:r>
          <m:t>s</m:t>
        </m:r>
        <m:r>
          <m:t>p</m:t>
        </m:r>
        <m:r>
          <m:t>r</m:t>
        </m:r>
        <m:r>
          <m:t>i</m:t>
        </m:r>
        <m:r>
          <m:t>o</m:t>
        </m:r>
        <m:r>
          <m:t>r</m:t>
        </m:r>
        <m:r>
          <m:rPr>
            <m:sty m:val="p"/>
          </m:rPr>
          <m:t>*</m:t>
        </m:r>
        <m:r>
          <m:rPr>
            <m:sty m:val="p"/>
          </m:rPr>
          <m:t>*</m:t>
        </m:r>
      </m:oMath>
      <w:r>
        <w:rPr>
          <w:b/>
          <w:bCs/>
        </w:rPr>
        <w:t xml:space="preserve">1.00–</w:t>
      </w:r>
      <m:oMath>
        <m:r>
          <m:t>2.00</m:t>
        </m:r>
        <m:r>
          <m:rPr>
            <m:sty m:val="p"/>
          </m:rPr>
          <m:t>*</m:t>
        </m:r>
        <m:r>
          <m:rPr>
            <m:sty m:val="p"/>
          </m:rPr>
          <m:t>*</m:t>
        </m:r>
        <m:r>
          <m:t>r</m:t>
        </m:r>
        <m:r>
          <m:t>a</m:t>
        </m:r>
        <m:r>
          <m:t>n</m:t>
        </m:r>
        <m:r>
          <m:t>g</m:t>
        </m:r>
        <m:r>
          <m:t>e</m:t>
        </m:r>
        <m:r>
          <m:rPr>
            <m:sty m:val="p"/>
          </m:rPr>
          <m:t>,</m:t>
        </m:r>
        <m:r>
          <m:t>d</m:t>
        </m:r>
        <m:r>
          <m:t>e</m:t>
        </m:r>
        <m:r>
          <m:t>s</m:t>
        </m:r>
        <m:r>
          <m:t>p</m:t>
        </m:r>
        <m:r>
          <m:t>i</m:t>
        </m:r>
        <m:r>
          <m:t>t</m:t>
        </m:r>
        <m:r>
          <m:t>e</m:t>
        </m:r>
        <m:r>
          <m:t>a</m:t>
        </m:r>
        <m:r>
          <m:t>n</m:t>
        </m:r>
        <m:r>
          <m:t>e</m:t>
        </m:r>
        <m:r>
          <m:t>x</m:t>
        </m:r>
        <m:r>
          <m:t>c</m:t>
        </m:r>
        <m:r>
          <m:t>e</m:t>
        </m:r>
        <m:r>
          <m:t>p</m:t>
        </m:r>
        <m:r>
          <m:t>t</m:t>
        </m:r>
        <m:r>
          <m:t>i</m:t>
        </m:r>
        <m:r>
          <m:t>o</m:t>
        </m:r>
        <m:r>
          <m:t>n</m:t>
        </m:r>
        <m:r>
          <m:t>a</m:t>
        </m:r>
        <m:r>
          <m:t>l</m:t>
        </m:r>
        <m:r>
          <m:t>l</m:t>
        </m:r>
        <m:r>
          <m:t>y</m:t>
        </m:r>
        <m:r>
          <m:t>s</m:t>
        </m:r>
        <m:r>
          <m:t>h</m:t>
        </m:r>
        <m:r>
          <m:t>a</m:t>
        </m:r>
        <m:r>
          <m:t>r</m:t>
        </m:r>
        <m:r>
          <m:t>p</m:t>
        </m:r>
        <m:r>
          <m:t>i</m:t>
        </m:r>
        <m:r>
          <m:t>n</m:t>
        </m:r>
        <m:r>
          <m:t>c</m:t>
        </m:r>
        <m:r>
          <m:t>r</m:t>
        </m:r>
        <m:r>
          <m:t>e</m:t>
        </m:r>
        <m:r>
          <m:t>a</m:t>
        </m:r>
        <m:r>
          <m:t>s</m:t>
        </m:r>
        <m:r>
          <m:t>e</m:t>
        </m:r>
        <m:r>
          <m:t>i</m:t>
        </m:r>
        <m:r>
          <m:t>n</m:t>
        </m:r>
        <m:r>
          <m:t>f</m:t>
        </m:r>
        <m:r>
          <m:t>u</m:t>
        </m:r>
        <m:r>
          <m:t>e</m:t>
        </m:r>
        <m:r>
          <m:t>l</m:t>
        </m:r>
        <m:r>
          <m:t>e</m:t>
        </m:r>
        <m:r>
          <m:t>x</m:t>
        </m:r>
        <m:r>
          <m:t>p</m:t>
        </m:r>
        <m:r>
          <m:t>e</m:t>
        </m:r>
        <m:r>
          <m:t>n</m:t>
        </m:r>
        <m:r>
          <m:t>s</m:t>
        </m:r>
        <m:r>
          <m:t>e</m:t>
        </m:r>
        <m:r>
          <m:rPr>
            <m:sty m:val="p"/>
          </m:rPr>
          <m:t>.</m:t>
        </m:r>
        <m:r>
          <m:t>M</m:t>
        </m:r>
        <m:r>
          <m:t>o</m:t>
        </m:r>
        <m:r>
          <m:t>r</m:t>
        </m:r>
        <m:r>
          <m:t>e</m:t>
        </m:r>
        <m:r>
          <m:t>i</m:t>
        </m:r>
        <m:r>
          <m:t>m</m:t>
        </m:r>
        <m:r>
          <m:t>p</m:t>
        </m:r>
        <m:r>
          <m:t>o</m:t>
        </m:r>
        <m:r>
          <m:t>r</m:t>
        </m:r>
        <m:r>
          <m:t>t</m:t>
        </m:r>
        <m:r>
          <m:t>a</m:t>
        </m:r>
        <m:r>
          <m:t>n</m:t>
        </m:r>
        <m:r>
          <m:t>t</m:t>
        </m:r>
        <m:r>
          <m:t>l</m:t>
        </m:r>
        <m:r>
          <m:t>y</m:t>
        </m:r>
        <m:r>
          <m:rPr>
            <m:sty m:val="p"/>
          </m:rPr>
          <m:t>,</m:t>
        </m:r>
        <m:r>
          <m:t>m</m:t>
        </m:r>
        <m:r>
          <m:t>a</m:t>
        </m:r>
        <m:r>
          <m:t>n</m:t>
        </m:r>
        <m:r>
          <m:t>a</m:t>
        </m:r>
        <m:r>
          <m:t>g</m:t>
        </m:r>
        <m:r>
          <m:t>e</m:t>
        </m:r>
        <m:r>
          <m:t>m</m:t>
        </m:r>
        <m:r>
          <m:t>e</m:t>
        </m:r>
        <m:r>
          <m:t>n</m:t>
        </m:r>
        <m:r>
          <m:t>t</m:t>
        </m:r>
        <m:r>
          <m:t>r</m:t>
        </m:r>
        <m:r>
          <m:t>a</m:t>
        </m:r>
        <m:r>
          <m:t>i</m:t>
        </m:r>
        <m:r>
          <m:t>s</m:t>
        </m:r>
        <m:r>
          <m:t>e</m:t>
        </m:r>
        <m:r>
          <m:t>d</m:t>
        </m:r>
        <m:r>
          <m:t>f</m:t>
        </m:r>
        <m:r>
          <m:t>u</m:t>
        </m:r>
        <m:r>
          <m:t>l</m:t>
        </m:r>
        <m:r>
          <m:t>l</m:t>
        </m:r>
        <m:r>
          <m:rPr>
            <m:sty m:val="p"/>
          </m:rPr>
          <m:t>−</m:t>
        </m:r>
        <m:r>
          <m:t>y</m:t>
        </m:r>
        <m:r>
          <m:t>e</m:t>
        </m:r>
        <m:r>
          <m:t>a</m:t>
        </m:r>
        <m:r>
          <m:t>r</m:t>
        </m:r>
        <m:r>
          <m:t>a</m:t>
        </m:r>
        <m:r>
          <m:t>d</m:t>
        </m:r>
        <m:r>
          <m:t>j</m:t>
        </m:r>
        <m:r>
          <m:t>u</m:t>
        </m:r>
        <m:r>
          <m:t>s</m:t>
        </m:r>
        <m:r>
          <m:t>t</m:t>
        </m:r>
        <m:r>
          <m:t>e</m:t>
        </m:r>
        <m:r>
          <m:t>d</m:t>
        </m:r>
        <m:r>
          <m:t>E</m:t>
        </m:r>
        <m:r>
          <m:t>P</m:t>
        </m:r>
        <m:r>
          <m:t>S</m:t>
        </m:r>
        <m:r>
          <m:t>g</m:t>
        </m:r>
        <m:r>
          <m:t>u</m:t>
        </m:r>
        <m:r>
          <m:t>i</m:t>
        </m:r>
        <m:r>
          <m:t>d</m:t>
        </m:r>
        <m:r>
          <m:t>a</m:t>
        </m:r>
        <m:r>
          <m:t>n</m:t>
        </m:r>
        <m:r>
          <m:t>c</m:t>
        </m:r>
        <m:r>
          <m:t>e</m:t>
        </m:r>
        <m:r>
          <m:t>f</m:t>
        </m:r>
        <m:r>
          <m:t>r</m:t>
        </m:r>
        <m:r>
          <m:t>o</m:t>
        </m:r>
        <m:r>
          <m:t>m</m:t>
        </m:r>
        <m:r>
          <m:rPr>
            <m:sty m:val="p"/>
          </m:rPr>
          <m:t>*</m:t>
        </m:r>
        <m:r>
          <m:rPr>
            <m:sty m:val="p"/>
          </m:rPr>
          <m:t>*</m:t>
        </m:r>
      </m:oMath>
      <w:r>
        <w:rPr>
          <w:b/>
          <w:bCs/>
        </w:rPr>
        <w:t xml:space="preserve">7–</w:t>
      </w:r>
      <m:oMath>
        <m:r>
          <m:t>11</m:t>
        </m:r>
        <m:r>
          <m:rPr>
            <m:sty m:val="p"/>
          </m:rPr>
          <m:t>*</m:t>
        </m:r>
        <m:r>
          <m:rPr>
            <m:sty m:val="p"/>
          </m:rPr>
          <m:t>*</m:t>
        </m:r>
        <m:r>
          <m:t>t</m:t>
        </m:r>
        <m:r>
          <m:t>o</m:t>
        </m:r>
        <m:r>
          <m:rPr>
            <m:sty m:val="p"/>
          </m:rPr>
          <m:t>*</m:t>
        </m:r>
        <m:r>
          <m:rPr>
            <m:sty m:val="p"/>
          </m:rPr>
          <m:t>*</m:t>
        </m:r>
      </m:oMath>
      <w:r>
        <w:rPr>
          <w:b/>
          <w:bCs/>
        </w:rPr>
        <w:t xml:space="preserve">9–$11</w:t>
      </w:r>
      <w:r>
        <w:t xml:space="preserve">.</w:t>
      </w:r>
    </w:p>
    <w:p>
      <w:pPr>
        <w:pStyle w:val="BodyText"/>
      </w:pPr>
      <w:r>
        <w:t xml:space="preserve">The call now matters because the earnings release presents a strong but still unproven thesis:</w:t>
      </w:r>
      <w:r>
        <w:t xml:space="preserve"> </w:t>
      </w:r>
      <w:r>
        <w:rPr>
          <w:b/>
          <w:bCs/>
        </w:rPr>
        <w:t xml:space="preserve">UAL believes it can recover 80%–90% of its higher fuel expense in 3Q and 100% by 4Q through higher fares, disciplined capacity, and continued demand strength.</w:t>
      </w:r>
      <w:r>
        <w:t xml:space="preserve"> </w:t>
      </w:r>
      <w:r>
        <w:t xml:space="preserve">The stock’s next move is likely to depend less on the reported quarter and more on the credibility and detail behind that recovery path.</w:t>
      </w:r>
    </w:p>
    <w:bookmarkEnd w:id="9"/>
    <w:bookmarkStart w:id="10" w:name="what-ual-reported"/>
    <w:p>
      <w:pPr>
        <w:pStyle w:val="Heading2"/>
      </w:pPr>
      <w:r>
        <w:t xml:space="preserve">What UAL reported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2Q26</w:t>
            </w:r>
          </w:p>
        </w:tc>
        <w:tc>
          <w:tcPr/>
          <w:p>
            <w:pPr>
              <w:pStyle w:val="Compact"/>
              <w:jc w:val="right"/>
            </w:pPr>
            <w:r>
              <w:t xml:space="preserve">YoY change</w:t>
            </w:r>
          </w:p>
        </w:tc>
      </w:tr>
      <w:tr>
        <w:tc>
          <w:tcPr/>
          <w:p>
            <w:pPr>
              <w:pStyle w:val="Compact"/>
            </w:pPr>
            <w:r>
              <w:t xml:space="preserve">Adjusted EPS</w:t>
            </w:r>
          </w:p>
        </w:tc>
        <w:tc>
          <w:tcPr/>
          <w:p>
            <w:pPr>
              <w:pStyle w:val="Compact"/>
              <w:jc w:val="right"/>
            </w:pPr>
            <w:r>
              <w:rPr>
                <w:b/>
                <w:bCs/>
              </w:rPr>
              <w:t xml:space="preserve">$1.99</w:t>
            </w:r>
          </w:p>
        </w:tc>
        <w:tc>
          <w:tcPr/>
          <w:p>
            <w:pPr>
              <w:pStyle w:val="Compact"/>
              <w:jc w:val="right"/>
            </w:pPr>
            <w:r>
              <w:rPr>
                <w:b/>
                <w:bCs/>
              </w:rPr>
              <w:t xml:space="preserve">-48.6%</w:t>
            </w:r>
          </w:p>
        </w:tc>
      </w:tr>
      <w:tr>
        <w:tc>
          <w:tcPr/>
          <w:p>
            <w:pPr>
              <w:pStyle w:val="Compact"/>
            </w:pPr>
            <w:r>
              <w:t xml:space="preserve">GAAP EPS</w:t>
            </w:r>
          </w:p>
        </w:tc>
        <w:tc>
          <w:tcPr/>
          <w:p>
            <w:pPr>
              <w:pStyle w:val="Compact"/>
              <w:jc w:val="right"/>
            </w:pPr>
            <w:r>
              <w:t xml:space="preserve">$2.46</w:t>
            </w:r>
          </w:p>
        </w:tc>
        <w:tc>
          <w:tcPr/>
          <w:p>
            <w:pPr>
              <w:pStyle w:val="Compact"/>
              <w:jc w:val="right"/>
            </w:pPr>
            <w:r>
              <w:t xml:space="preserve">-17.2%</w:t>
            </w:r>
          </w:p>
        </w:tc>
      </w:tr>
      <w:tr>
        <w:tc>
          <w:tcPr/>
          <w:p>
            <w:pPr>
              <w:pStyle w:val="Compact"/>
            </w:pPr>
            <w:r>
              <w:t xml:space="preserve">Revenue</w:t>
            </w:r>
          </w:p>
        </w:tc>
        <w:tc>
          <w:tcPr/>
          <w:p>
            <w:pPr>
              <w:pStyle w:val="Compact"/>
              <w:jc w:val="right"/>
            </w:pPr>
            <w:r>
              <w:rPr>
                <w:b/>
                <w:bCs/>
              </w:rPr>
              <w:t xml:space="preserve">$17.7B</w:t>
            </w:r>
          </w:p>
        </w:tc>
        <w:tc>
          <w:tcPr/>
          <w:p>
            <w:pPr>
              <w:pStyle w:val="Compact"/>
              <w:jc w:val="right"/>
            </w:pPr>
            <w:r>
              <w:rPr>
                <w:b/>
                <w:bCs/>
              </w:rPr>
              <w:t xml:space="preserve">+16.0%</w:t>
            </w:r>
          </w:p>
        </w:tc>
      </w:tr>
      <w:tr>
        <w:tc>
          <w:tcPr/>
          <w:p>
            <w:pPr>
              <w:pStyle w:val="Compact"/>
            </w:pPr>
            <w:r>
              <w:t xml:space="preserve">Capacity (ASM)</w:t>
            </w:r>
          </w:p>
        </w:tc>
        <w:tc>
          <w:tcPr/>
          <w:p>
            <w:pPr>
              <w:pStyle w:val="Compact"/>
              <w:jc w:val="right"/>
            </w:pPr>
            <w:r>
              <w:t xml:space="preserve">—</w:t>
            </w:r>
          </w:p>
        </w:tc>
        <w:tc>
          <w:tcPr/>
          <w:p>
            <w:pPr>
              <w:pStyle w:val="Compact"/>
              <w:jc w:val="right"/>
            </w:pPr>
            <w:r>
              <w:rPr>
                <w:b/>
                <w:bCs/>
              </w:rPr>
              <w:t xml:space="preserve">+3.5%</w:t>
            </w:r>
          </w:p>
        </w:tc>
      </w:tr>
      <w:tr>
        <w:tc>
          <w:tcPr/>
          <w:p>
            <w:pPr>
              <w:pStyle w:val="Compact"/>
            </w:pPr>
            <w:r>
              <w:t xml:space="preserve">TRASM</w:t>
            </w:r>
          </w:p>
        </w:tc>
        <w:tc>
          <w:tcPr/>
          <w:p>
            <w:pPr>
              <w:pStyle w:val="Compact"/>
              <w:jc w:val="right"/>
            </w:pPr>
            <w:r>
              <w:t xml:space="preserve">—</w:t>
            </w:r>
          </w:p>
        </w:tc>
        <w:tc>
          <w:tcPr/>
          <w:p>
            <w:pPr>
              <w:pStyle w:val="Compact"/>
              <w:jc w:val="right"/>
            </w:pPr>
            <w:r>
              <w:rPr>
                <w:b/>
                <w:bCs/>
              </w:rPr>
              <w:t xml:space="preserve">+12.1%</w:t>
            </w:r>
          </w:p>
        </w:tc>
      </w:tr>
      <w:tr>
        <w:tc>
          <w:tcPr/>
          <w:p>
            <w:pPr>
              <w:pStyle w:val="Compact"/>
            </w:pPr>
            <w:r>
              <w:t xml:space="preserve">PRASM</w:t>
            </w:r>
          </w:p>
        </w:tc>
        <w:tc>
          <w:tcPr/>
          <w:p>
            <w:pPr>
              <w:pStyle w:val="Compact"/>
              <w:jc w:val="right"/>
            </w:pPr>
            <w:r>
              <w:t xml:space="preserve">—</w:t>
            </w:r>
          </w:p>
        </w:tc>
        <w:tc>
          <w:tcPr/>
          <w:p>
            <w:pPr>
              <w:pStyle w:val="Compact"/>
              <w:jc w:val="right"/>
            </w:pPr>
            <w:r>
              <w:rPr>
                <w:b/>
                <w:bCs/>
              </w:rPr>
              <w:t xml:space="preserve">+12.5%</w:t>
            </w:r>
          </w:p>
        </w:tc>
      </w:tr>
      <w:tr>
        <w:tc>
          <w:tcPr/>
          <w:p>
            <w:pPr>
              <w:pStyle w:val="Compact"/>
            </w:pPr>
            <w:r>
              <w:t xml:space="preserve">Yield</w:t>
            </w:r>
          </w:p>
        </w:tc>
        <w:tc>
          <w:tcPr/>
          <w:p>
            <w:pPr>
              <w:pStyle w:val="Compact"/>
              <w:jc w:val="right"/>
            </w:pPr>
            <w:r>
              <w:t xml:space="preserve">—</w:t>
            </w:r>
          </w:p>
        </w:tc>
        <w:tc>
          <w:tcPr/>
          <w:p>
            <w:pPr>
              <w:pStyle w:val="Compact"/>
              <w:jc w:val="right"/>
            </w:pPr>
            <w:r>
              <w:rPr>
                <w:b/>
                <w:bCs/>
              </w:rPr>
              <w:t xml:space="preserve">+12.1%</w:t>
            </w:r>
          </w:p>
        </w:tc>
      </w:tr>
      <w:tr>
        <w:tc>
          <w:tcPr/>
          <w:p>
            <w:pPr>
              <w:pStyle w:val="Compact"/>
            </w:pPr>
            <w:r>
              <w:t xml:space="preserve">Adjusted pre-tax margin</w:t>
            </w:r>
          </w:p>
        </w:tc>
        <w:tc>
          <w:tcPr/>
          <w:p>
            <w:pPr>
              <w:pStyle w:val="Compact"/>
              <w:jc w:val="right"/>
            </w:pPr>
            <w:r>
              <w:rPr>
                <w:b/>
                <w:bCs/>
              </w:rPr>
              <w:t xml:space="preserve">4.8%</w:t>
            </w:r>
          </w:p>
        </w:tc>
        <w:tc>
          <w:tcPr/>
          <w:p>
            <w:pPr>
              <w:pStyle w:val="Compact"/>
              <w:jc w:val="right"/>
            </w:pPr>
            <w:r>
              <w:t xml:space="preserve">-620 bps</w:t>
            </w:r>
          </w:p>
        </w:tc>
      </w:tr>
      <w:tr>
        <w:tc>
          <w:tcPr/>
          <w:p>
            <w:pPr>
              <w:pStyle w:val="Compact"/>
            </w:pPr>
            <w:r>
              <w:t xml:space="preserve">CASM-ex</w:t>
            </w:r>
          </w:p>
        </w:tc>
        <w:tc>
          <w:tcPr/>
          <w:p>
            <w:pPr>
              <w:pStyle w:val="Compact"/>
              <w:jc w:val="right"/>
            </w:pPr>
            <w:r>
              <w:t xml:space="preserve">—</w:t>
            </w:r>
          </w:p>
        </w:tc>
        <w:tc>
          <w:tcPr/>
          <w:p>
            <w:pPr>
              <w:pStyle w:val="Compact"/>
              <w:jc w:val="right"/>
            </w:pPr>
            <w:r>
              <w:rPr>
                <w:b/>
                <w:bCs/>
              </w:rPr>
              <w:t xml:space="preserve">+6.1%</w:t>
            </w:r>
          </w:p>
        </w:tc>
      </w:tr>
      <w:tr>
        <w:tc>
          <w:tcPr/>
          <w:p>
            <w:pPr>
              <w:pStyle w:val="Compact"/>
            </w:pPr>
            <w:r>
              <w:t xml:space="preserve">Average fuel price/gal.</w:t>
            </w:r>
          </w:p>
        </w:tc>
        <w:tc>
          <w:tcPr/>
          <w:p>
            <w:pPr>
              <w:pStyle w:val="Compact"/>
              <w:jc w:val="right"/>
            </w:pPr>
            <w:r>
              <w:rPr>
                <w:b/>
                <w:bCs/>
              </w:rPr>
              <w:t xml:space="preserve">$4.19</w:t>
            </w:r>
          </w:p>
        </w:tc>
        <w:tc>
          <w:tcPr/>
          <w:p>
            <w:pPr>
              <w:pStyle w:val="Compact"/>
              <w:jc w:val="right"/>
            </w:pPr>
            <w:r>
              <w:rPr>
                <w:b/>
                <w:bCs/>
              </w:rPr>
              <w:t xml:space="preserve">+79.4%</w:t>
            </w:r>
          </w:p>
        </w:tc>
      </w:tr>
      <w:tr>
        <w:tc>
          <w:tcPr/>
          <w:p>
            <w:pPr>
              <w:pStyle w:val="Compact"/>
            </w:pPr>
            <w:r>
              <w:t xml:space="preserve">Free cash flow</w:t>
            </w:r>
          </w:p>
        </w:tc>
        <w:tc>
          <w:tcPr/>
          <w:p>
            <w:pPr>
              <w:pStyle w:val="Compact"/>
              <w:jc w:val="right"/>
            </w:pPr>
            <w:r>
              <w:rPr>
                <w:b/>
                <w:bCs/>
              </w:rPr>
              <w:t xml:space="preserve">$322M</w:t>
            </w:r>
          </w:p>
        </w:tc>
        <w:tc>
          <w:tcPr/>
          <w:p>
            <w:pPr>
              <w:pStyle w:val="Compact"/>
              <w:jc w:val="right"/>
            </w:pPr>
            <w:r>
              <w:t xml:space="preserve">-$808M</w:t>
            </w:r>
          </w:p>
        </w:tc>
      </w:tr>
    </w:tbl>
    <w:p>
      <w:pPr>
        <w:pStyle w:val="BodyText"/>
      </w:pPr>
      <w:r>
        <w:t xml:space="preserve">The central contrast is clear: United achieved very strong unit-revenue growth, but fuel expense rose</w:t>
      </w:r>
      <w:r>
        <w:t xml:space="preserve"> </w:t>
      </w:r>
      <w:r>
        <w:rPr>
          <w:b/>
          <w:bCs/>
        </w:rPr>
        <w:t xml:space="preserve">$2.3 billion</w:t>
      </w:r>
      <w:r>
        <w:t xml:space="preserve">, or</w:t>
      </w:r>
      <w:r>
        <w:t xml:space="preserve"> </w:t>
      </w:r>
      <w:r>
        <w:rPr>
          <w:b/>
          <w:bCs/>
        </w:rPr>
        <w:t xml:space="preserve">84%</w:t>
      </w:r>
      <w:r>
        <w:t xml:space="preserve">, year over year. Management estimates that it recovered only roughly</w:t>
      </w:r>
      <w:r>
        <w:t xml:space="preserve"> </w:t>
      </w:r>
      <w:r>
        <w:rPr>
          <w:b/>
          <w:bCs/>
        </w:rPr>
        <w:t xml:space="preserve">half</w:t>
      </w:r>
      <w:r>
        <w:t xml:space="preserve"> </w:t>
      </w:r>
      <w:r>
        <w:t xml:space="preserve">of that incremental fuel burden during 2Q. That explains why adjusted EPS and adjusted margins fell materially despite revenue growth.</w:t>
      </w:r>
    </w:p>
    <w:bookmarkEnd w:id="10"/>
    <w:bookmarkStart w:id="12" w:name="X586b9552b93a38f606dfb1e8247853a090ec783"/>
    <w:p>
      <w:pPr>
        <w:pStyle w:val="Heading2"/>
      </w:pPr>
      <w:r>
        <w:t xml:space="preserve">The core debate: can United finish passing through fuel costs?</w:t>
      </w:r>
    </w:p>
    <w:p>
      <w:pPr>
        <w:pStyle w:val="FirstParagraph"/>
      </w:pPr>
      <w:r>
        <w:t xml:space="preserve">Management’s updated outlook is the key positive development:</w:t>
      </w:r>
    </w:p>
    <w:p>
      <w:pPr>
        <w:pStyle w:val="Compact"/>
        <w:numPr>
          <w:ilvl w:val="0"/>
          <w:numId w:val="1001"/>
        </w:numPr>
      </w:pPr>
      <w:r>
        <w:rPr>
          <w:b/>
          <w:bCs/>
        </w:rPr>
        <w:t xml:space="preserve">3Q26 adjusted EPS:</w:t>
      </w:r>
      <w:r>
        <w:t xml:space="preserve"> </w:t>
      </w:r>
      <m:oMath>
        <m:r>
          <m:t>2.50</m:t>
        </m:r>
        <m:r>
          <m:rPr>
            <m:sty m:val="p"/>
          </m:rPr>
          <m:t>–</m:t>
        </m:r>
      </m:oMath>
      <w:r>
        <w:rPr>
          <w:b/>
          <w:bCs/>
        </w:rPr>
        <w:t xml:space="preserve">3.50</w:t>
      </w:r>
    </w:p>
    <w:p>
      <w:pPr>
        <w:pStyle w:val="Compact"/>
        <w:numPr>
          <w:ilvl w:val="0"/>
          <w:numId w:val="1001"/>
        </w:numPr>
      </w:pPr>
      <w:r>
        <w:rPr>
          <w:b/>
          <w:bCs/>
        </w:rPr>
        <w:t xml:space="preserve">FY26 adjusted EPS:</w:t>
      </w:r>
      <w:r>
        <w:t xml:space="preserve"> </w:t>
      </w:r>
      <m:oMath>
        <m:r>
          <m:t>9.00</m:t>
        </m:r>
        <m:r>
          <m:rPr>
            <m:sty m:val="p"/>
          </m:rPr>
          <m:t>–</m:t>
        </m:r>
      </m:oMath>
      <w:r>
        <w:rPr>
          <w:b/>
          <w:bCs/>
        </w:rPr>
        <w:t xml:space="preserve">11.00</w:t>
      </w:r>
    </w:p>
    <w:p>
      <w:pPr>
        <w:pStyle w:val="Compact"/>
        <w:numPr>
          <w:ilvl w:val="0"/>
          <w:numId w:val="1001"/>
        </w:numPr>
      </w:pPr>
      <w:r>
        <w:rPr>
          <w:b/>
          <w:bCs/>
        </w:rPr>
        <w:t xml:space="preserve">3Q fuel assumption:</w:t>
      </w:r>
      <w:r>
        <w:t xml:space="preserve"> </w:t>
      </w:r>
      <w:r>
        <w:t xml:space="preserve">approximately</w:t>
      </w:r>
      <w:r>
        <w:t xml:space="preserve"> </w:t>
      </w:r>
      <w:r>
        <w:rPr>
          <w:b/>
          <w:bCs/>
        </w:rPr>
        <w:t xml:space="preserve">$3.69 per gallon</w:t>
      </w:r>
      <w:r>
        <w:t xml:space="preserve">, based on the July 14 Gulf Coast jet-fuel forward curve.</w:t>
      </w:r>
    </w:p>
    <w:p>
      <w:pPr>
        <w:pStyle w:val="Compact"/>
        <w:numPr>
          <w:ilvl w:val="0"/>
          <w:numId w:val="1001"/>
        </w:numPr>
      </w:pPr>
      <w:r>
        <w:t xml:space="preserve">Management says jet fuel had increased by</w:t>
      </w:r>
      <w:r>
        <w:t xml:space="preserve"> </w:t>
      </w:r>
      <m:oMath>
        <m:r>
          <m:t>575</m:t>
        </m:r>
        <m:r>
          <m:t>m</m:t>
        </m:r>
        <m:r>
          <m:t>i</m:t>
        </m:r>
        <m:r>
          <m:t>l</m:t>
        </m:r>
        <m:r>
          <m:t>l</m:t>
        </m:r>
        <m:r>
          <m:t>i</m:t>
        </m:r>
        <m:r>
          <m:t>o</m:t>
        </m:r>
        <m:r>
          <m:t>n</m:t>
        </m:r>
        <m:r>
          <m:rPr>
            <m:sty m:val="p"/>
          </m:rPr>
          <m:t>*</m:t>
        </m:r>
        <m:r>
          <m:rPr>
            <m:sty m:val="p"/>
          </m:rPr>
          <m:t>*</m:t>
        </m:r>
        <m:r>
          <m:rPr>
            <m:sty m:val="p"/>
          </m:rPr>
          <m:t>,</m:t>
        </m:r>
        <m:r>
          <m:t>o</m:t>
        </m:r>
        <m:r>
          <m:t>r</m:t>
        </m:r>
        <m:r>
          <m:rPr>
            <m:sty m:val="p"/>
          </m:rPr>
          <m:t>*</m:t>
        </m:r>
        <m:r>
          <m:rPr>
            <m:sty m:val="p"/>
          </m:rPr>
          <m:t>*</m:t>
        </m:r>
      </m:oMath>
      <w:r>
        <w:rPr>
          <w:b/>
          <w:bCs/>
        </w:rPr>
        <w:t xml:space="preserve">1.12 per adjusted share</w:t>
      </w:r>
      <w:r>
        <w:t xml:space="preserve">, for 3Q alone since the beginning of July.</w:t>
      </w:r>
    </w:p>
    <w:p>
      <w:pPr>
        <w:pStyle w:val="Compact"/>
        <w:numPr>
          <w:ilvl w:val="0"/>
          <w:numId w:val="1001"/>
        </w:numPr>
      </w:pPr>
      <w:r>
        <w:t xml:space="preserve">UAL expects to recover</w:t>
      </w:r>
      <w:r>
        <w:t xml:space="preserve"> </w:t>
      </w:r>
      <w:r>
        <w:rPr>
          <w:b/>
          <w:bCs/>
        </w:rPr>
        <w:t xml:space="preserve">80%–90%</w:t>
      </w:r>
      <w:r>
        <w:t xml:space="preserve"> </w:t>
      </w:r>
      <w:r>
        <w:t xml:space="preserve">of its higher fuel cost in 3Q and</w:t>
      </w:r>
      <w:r>
        <w:t xml:space="preserve"> </w:t>
      </w:r>
      <w:r>
        <w:rPr>
          <w:b/>
          <w:bCs/>
        </w:rPr>
        <w:t xml:space="preserve">100% by 4Q</w:t>
      </w:r>
      <w:r>
        <w:t xml:space="preserve">.</w:t>
      </w:r>
    </w:p>
    <w:p>
      <w:pPr>
        <w:pStyle w:val="Compact"/>
        <w:numPr>
          <w:ilvl w:val="0"/>
          <w:numId w:val="1001"/>
        </w:numPr>
      </w:pPr>
      <w:r>
        <w:t xml:space="preserve">Management expects both</w:t>
      </w:r>
      <w:r>
        <w:t xml:space="preserve"> </w:t>
      </w:r>
      <w:r>
        <w:rPr>
          <w:b/>
          <w:bCs/>
        </w:rPr>
        <w:t xml:space="preserve">3Q and 4Q TRASM growth to exceed 2Q’s 12.1%</w:t>
      </w:r>
      <w:r>
        <w:t xml:space="preserve"> </w:t>
      </w:r>
      <w:r>
        <w:t xml:space="preserve">result.</w:t>
      </w:r>
    </w:p>
    <w:p>
      <w:pPr>
        <w:pStyle w:val="FirstParagraph"/>
      </w:pPr>
      <w:r>
        <w:t xml:space="preserve">This is an ambitious setup, but the reported quarter supplies some evidence that the pricing strategy is working. Consolidated yield rose 12.1%, with particularly strong domestic results: domestic PRASM rose 12.2% and domestic yield rose 13.0%. International PRASM increased 12.0%, led by Pacific PRASM growth of 14.0%.</w:t>
      </w:r>
    </w:p>
    <w:bookmarkStart w:id="11" w:name="what-investors-need-to-hear-on-the-call"/>
    <w:p>
      <w:pPr>
        <w:pStyle w:val="Heading3"/>
      </w:pPr>
      <w:r>
        <w:t xml:space="preserve">What investors need to hear on the call</w:t>
      </w:r>
    </w:p>
    <w:p>
      <w:pPr>
        <w:numPr>
          <w:ilvl w:val="0"/>
          <w:numId w:val="1002"/>
        </w:numPr>
      </w:pPr>
      <w:r>
        <w:rPr>
          <w:b/>
          <w:bCs/>
        </w:rPr>
        <w:t xml:space="preserve">Booking and close-in pricing trends since July 14.</w:t>
      </w:r>
      <w:r>
        <w:br/>
      </w:r>
      <w:r>
        <w:t xml:space="preserve">The guidance uses a specific fuel curve and is unusually sensitive to price movements. Investors should look for an update on whether fares and close-in demand continue to support management’s recovery assumptions.</w:t>
      </w:r>
    </w:p>
    <w:p>
      <w:pPr>
        <w:numPr>
          <w:ilvl w:val="0"/>
          <w:numId w:val="1002"/>
        </w:numPr>
      </w:pPr>
      <w:r>
        <w:rPr>
          <w:b/>
          <w:bCs/>
        </w:rPr>
        <w:t xml:space="preserve">How much of 3Q’s revenue outlook reflects fare, mix, or capacity changes.</w:t>
      </w:r>
      <w:r>
        <w:br/>
      </w:r>
      <w:r>
        <w:t xml:space="preserve">A further acceleration in TRASM is constructive, but its quality matters. Pricing-led gains supported by premium and corporate demand would be more durable than gains driven only by lower capacity.</w:t>
      </w:r>
    </w:p>
    <w:p>
      <w:pPr>
        <w:numPr>
          <w:ilvl w:val="0"/>
          <w:numId w:val="1002"/>
        </w:numPr>
      </w:pPr>
      <w:r>
        <w:rPr>
          <w:b/>
          <w:bCs/>
        </w:rPr>
        <w:t xml:space="preserve">Evidence that demand is holding at higher prices.</w:t>
      </w:r>
      <w:r>
        <w:br/>
      </w:r>
      <w:r>
        <w:t xml:space="preserve">The company said contracted business revenue rose</w:t>
      </w:r>
      <w:r>
        <w:t xml:space="preserve"> </w:t>
      </w:r>
      <w:r>
        <w:rPr>
          <w:b/>
          <w:bCs/>
        </w:rPr>
        <w:t xml:space="preserve">27%</w:t>
      </w:r>
      <w:r>
        <w:t xml:space="preserve"> </w:t>
      </w:r>
      <w:r>
        <w:t xml:space="preserve">in 2Q, premium revenue increased</w:t>
      </w:r>
      <w:r>
        <w:t xml:space="preserve"> </w:t>
      </w:r>
      <w:r>
        <w:rPr>
          <w:b/>
          <w:bCs/>
        </w:rPr>
        <w:t xml:space="preserve">16%</w:t>
      </w:r>
      <w:r>
        <w:t xml:space="preserve">, loyalty revenue rose</w:t>
      </w:r>
      <w:r>
        <w:t xml:space="preserve"> </w:t>
      </w:r>
      <w:r>
        <w:rPr>
          <w:b/>
          <w:bCs/>
        </w:rPr>
        <w:t xml:space="preserve">11%</w:t>
      </w:r>
      <w:r>
        <w:t xml:space="preserve">, basic-economy revenue rose</w:t>
      </w:r>
      <w:r>
        <w:t xml:space="preserve"> </w:t>
      </w:r>
      <w:r>
        <w:rPr>
          <w:b/>
          <w:bCs/>
        </w:rPr>
        <w:t xml:space="preserve">11%</w:t>
      </w:r>
      <w:r>
        <w:t xml:space="preserve">, and cargo revenue climbed</w:t>
      </w:r>
      <w:r>
        <w:t xml:space="preserve"> </w:t>
      </w:r>
      <w:r>
        <w:rPr>
          <w:b/>
          <w:bCs/>
        </w:rPr>
        <w:t xml:space="preserve">23%</w:t>
      </w:r>
      <w:r>
        <w:t xml:space="preserve">. Commentary on whether these trends have continued into July will be important.</w:t>
      </w:r>
    </w:p>
    <w:bookmarkEnd w:id="11"/>
    <w:bookmarkEnd w:id="12"/>
    <w:bookmarkStart w:id="13" w:name="Xb069f720e83473a06ed4e94f5ff210c32c8586e"/>
    <w:p>
      <w:pPr>
        <w:pStyle w:val="Heading2"/>
      </w:pPr>
      <w:r>
        <w:t xml:space="preserve">Capacity discipline is now a material earnings lever</w:t>
      </w:r>
    </w:p>
    <w:p>
      <w:pPr>
        <w:pStyle w:val="FirstParagraph"/>
      </w:pPr>
      <w:r>
        <w:t xml:space="preserve">United reported only</w:t>
      </w:r>
      <w:r>
        <w:t xml:space="preserve"> </w:t>
      </w:r>
      <w:r>
        <w:rPr>
          <w:b/>
          <w:bCs/>
        </w:rPr>
        <w:t xml:space="preserve">3.5%</w:t>
      </w:r>
      <w:r>
        <w:t xml:space="preserve"> </w:t>
      </w:r>
      <w:r>
        <w:t xml:space="preserve">capacity growth in 2Q, well below revenue growth. Looking ahead, it says it expects 4Q capacity to decline from currently published schedules in the normal course, including the impact of the extended FAA order at Chicago O’Hare, and that it is prepared to moderate near-term capacity further if fuel remains elevated.</w:t>
      </w:r>
    </w:p>
    <w:p>
      <w:pPr>
        <w:pStyle w:val="BodyText"/>
      </w:pPr>
      <w:r>
        <w:t xml:space="preserve">That approach is sensible: UAL is prioritizing margin recovery over flying marginal off-peak capacity. But it creates two questions for the call:</w:t>
      </w:r>
    </w:p>
    <w:p>
      <w:pPr>
        <w:pStyle w:val="Compact"/>
        <w:numPr>
          <w:ilvl w:val="0"/>
          <w:numId w:val="1003"/>
        </w:numPr>
      </w:pPr>
      <w:r>
        <w:rPr>
          <w:b/>
          <w:bCs/>
        </w:rPr>
        <w:t xml:space="preserve">What is the revised 3Q and 4Q capacity-growth framework?</w:t>
      </w:r>
      <w:r>
        <w:br/>
      </w:r>
      <w:r>
        <w:t xml:space="preserve">Management previously described a back-half plan of roughly flat to up 2% capacity, but the latest investor update did not provide a specific quarterly number.</w:t>
      </w:r>
    </w:p>
    <w:p>
      <w:pPr>
        <w:pStyle w:val="Compact"/>
        <w:numPr>
          <w:ilvl w:val="0"/>
          <w:numId w:val="1003"/>
        </w:numPr>
      </w:pPr>
      <w:r>
        <w:rPr>
          <w:b/>
          <w:bCs/>
        </w:rPr>
        <w:t xml:space="preserve">How much capacity is constrained by FAA action at ORD versus proactively removed for profitability?</w:t>
      </w:r>
      <w:r>
        <w:br/>
      </w:r>
      <w:r>
        <w:t xml:space="preserve">The distinction matters. Proactive cuts can support pricing; externally imposed constraints can also impede network flexibility and market-share objectives.</w:t>
      </w:r>
    </w:p>
    <w:bookmarkEnd w:id="13"/>
    <w:bookmarkStart w:id="14" w:name="revenue-quality-the-bullish-case"/>
    <w:p>
      <w:pPr>
        <w:pStyle w:val="Heading2"/>
      </w:pPr>
      <w:r>
        <w:t xml:space="preserve">Revenue quality: the bullish case</w:t>
      </w:r>
    </w:p>
    <w:p>
      <w:pPr>
        <w:pStyle w:val="FirstParagraph"/>
      </w:pPr>
      <w:r>
        <w:t xml:space="preserve">The bullish argument is that United is demonstrating increasingly differentiated revenue performance rather than merely benefiting from industry pricing.</w:t>
      </w:r>
    </w:p>
    <w:p>
      <w:pPr>
        <w:pStyle w:val="Compact"/>
        <w:numPr>
          <w:ilvl w:val="0"/>
          <w:numId w:val="1004"/>
        </w:numPr>
      </w:pPr>
      <w:r>
        <w:t xml:space="preserve">Revenue grew</w:t>
      </w:r>
      <w:r>
        <w:t xml:space="preserve"> </w:t>
      </w:r>
      <w:r>
        <w:rPr>
          <w:b/>
          <w:bCs/>
        </w:rPr>
        <w:t xml:space="preserve">16%</w:t>
      </w:r>
      <w:r>
        <w:t xml:space="preserve"> </w:t>
      </w:r>
      <w:r>
        <w:t xml:space="preserve">on just</w:t>
      </w:r>
      <w:r>
        <w:t xml:space="preserve"> </w:t>
      </w:r>
      <w:r>
        <w:rPr>
          <w:b/>
          <w:bCs/>
        </w:rPr>
        <w:t xml:space="preserve">3.5%</w:t>
      </w:r>
      <w:r>
        <w:t xml:space="preserve"> </w:t>
      </w:r>
      <w:r>
        <w:t xml:space="preserve">capacity growth.</w:t>
      </w:r>
    </w:p>
    <w:p>
      <w:pPr>
        <w:pStyle w:val="Compact"/>
        <w:numPr>
          <w:ilvl w:val="0"/>
          <w:numId w:val="1004"/>
        </w:numPr>
      </w:pPr>
      <w:r>
        <w:t xml:space="preserve">Unit revenue rose</w:t>
      </w:r>
      <w:r>
        <w:t xml:space="preserve"> </w:t>
      </w:r>
      <w:r>
        <w:rPr>
          <w:b/>
          <w:bCs/>
        </w:rPr>
        <w:t xml:space="preserve">12.1%</w:t>
      </w:r>
      <w:r>
        <w:t xml:space="preserve">, while load factor improved</w:t>
      </w:r>
      <w:r>
        <w:t xml:space="preserve"> </w:t>
      </w:r>
      <w:r>
        <w:rPr>
          <w:b/>
          <w:bCs/>
        </w:rPr>
        <w:t xml:space="preserve">30 basis points</w:t>
      </w:r>
      <w:r>
        <w:t xml:space="preserve"> </w:t>
      </w:r>
      <w:r>
        <w:t xml:space="preserve">to</w:t>
      </w:r>
      <w:r>
        <w:t xml:space="preserve"> </w:t>
      </w:r>
      <w:r>
        <w:rPr>
          <w:b/>
          <w:bCs/>
        </w:rPr>
        <w:t xml:space="preserve">83.4%</w:t>
      </w:r>
      <w:r>
        <w:t xml:space="preserve">.</w:t>
      </w:r>
    </w:p>
    <w:p>
      <w:pPr>
        <w:pStyle w:val="Compact"/>
        <w:numPr>
          <w:ilvl w:val="0"/>
          <w:numId w:val="1004"/>
        </w:numPr>
      </w:pPr>
      <w:r>
        <w:t xml:space="preserve">Premium revenue grew</w:t>
      </w:r>
      <w:r>
        <w:t xml:space="preserve"> </w:t>
      </w:r>
      <w:r>
        <w:rPr>
          <w:b/>
          <w:bCs/>
        </w:rPr>
        <w:t xml:space="preserve">16%</w:t>
      </w:r>
      <w:r>
        <w:t xml:space="preserve">, in line with total revenue growth.</w:t>
      </w:r>
    </w:p>
    <w:p>
      <w:pPr>
        <w:pStyle w:val="Compact"/>
        <w:numPr>
          <w:ilvl w:val="0"/>
          <w:numId w:val="1004"/>
        </w:numPr>
      </w:pPr>
      <w:r>
        <w:t xml:space="preserve">Contracted-business revenue grew</w:t>
      </w:r>
      <w:r>
        <w:t xml:space="preserve"> </w:t>
      </w:r>
      <w:r>
        <w:rPr>
          <w:b/>
          <w:bCs/>
        </w:rPr>
        <w:t xml:space="preserve">27%</w:t>
      </w:r>
      <w:r>
        <w:t xml:space="preserve">, suggesting that corporate demand is supporting the fare environment.</w:t>
      </w:r>
    </w:p>
    <w:p>
      <w:pPr>
        <w:pStyle w:val="Compact"/>
        <w:numPr>
          <w:ilvl w:val="0"/>
          <w:numId w:val="1004"/>
        </w:numPr>
      </w:pPr>
      <w:r>
        <w:t xml:space="preserve">International strength remained broad, with PRASM up double digits in Europe, the Pacific, and Latin America.</w:t>
      </w:r>
    </w:p>
    <w:p>
      <w:pPr>
        <w:pStyle w:val="Compact"/>
        <w:numPr>
          <w:ilvl w:val="0"/>
          <w:numId w:val="1004"/>
        </w:numPr>
      </w:pPr>
      <w:r>
        <w:t xml:space="preserve">UAL continues to invest in premium seating, Starlink, loyalty benefits, merchandising, and network breadth—initiatives management believes will make its revenue base less commoditized.</w:t>
      </w:r>
    </w:p>
    <w:p>
      <w:pPr>
        <w:pStyle w:val="FirstParagraph"/>
      </w:pPr>
      <w:r>
        <w:t xml:space="preserve">The call should clarify whether those product investments are contributing measurably to yield and mix, or whether 2Q’s performance was primarily a temporary fuel-driven repricing event.</w:t>
      </w:r>
    </w:p>
    <w:bookmarkEnd w:id="14"/>
    <w:bookmarkStart w:id="15" w:name="margin-and-cost-the-bearish-case"/>
    <w:p>
      <w:pPr>
        <w:pStyle w:val="Heading2"/>
      </w:pPr>
      <w:r>
        <w:t xml:space="preserve">Margin and cost: the bearish case</w:t>
      </w:r>
    </w:p>
    <w:p>
      <w:pPr>
        <w:pStyle w:val="FirstParagraph"/>
      </w:pPr>
      <w:r>
        <w:t xml:space="preserve">The risk is that pricing has not yet fully offset the cost shock—and that the required further revenue recovery proves difficult if fuel remains high or demand softens.</w:t>
      </w:r>
    </w:p>
    <w:p>
      <w:pPr>
        <w:pStyle w:val="Compact"/>
        <w:numPr>
          <w:ilvl w:val="0"/>
          <w:numId w:val="1005"/>
        </w:numPr>
      </w:pPr>
      <w:r>
        <w:t xml:space="preserve">Adjusted pre-tax margin fell to</w:t>
      </w:r>
      <w:r>
        <w:t xml:space="preserve"> </w:t>
      </w:r>
      <w:r>
        <w:rPr>
          <w:b/>
          <w:bCs/>
        </w:rPr>
        <w:t xml:space="preserve">4.8%</w:t>
      </w:r>
      <w:r>
        <w:t xml:space="preserve"> </w:t>
      </w:r>
      <w:r>
        <w:t xml:space="preserve">from</w:t>
      </w:r>
      <w:r>
        <w:t xml:space="preserve"> </w:t>
      </w:r>
      <w:r>
        <w:rPr>
          <w:b/>
          <w:bCs/>
        </w:rPr>
        <w:t xml:space="preserve">11.0%</w:t>
      </w:r>
      <w:r>
        <w:t xml:space="preserve"> </w:t>
      </w:r>
      <w:r>
        <w:t xml:space="preserve">a year ago.</w:t>
      </w:r>
    </w:p>
    <w:p>
      <w:pPr>
        <w:pStyle w:val="Compact"/>
        <w:numPr>
          <w:ilvl w:val="0"/>
          <w:numId w:val="1005"/>
        </w:numPr>
      </w:pPr>
      <w:r>
        <w:t xml:space="preserve">Adjusted EPS declined nearly</w:t>
      </w:r>
      <w:r>
        <w:t xml:space="preserve"> </w:t>
      </w:r>
      <w:r>
        <w:rPr>
          <w:b/>
          <w:bCs/>
        </w:rPr>
        <w:t xml:space="preserve">49%</w:t>
      </w:r>
      <w:r>
        <w:t xml:space="preserve"> </w:t>
      </w:r>
      <w:r>
        <w:t xml:space="preserve">year over year.</w:t>
      </w:r>
    </w:p>
    <w:p>
      <w:pPr>
        <w:pStyle w:val="Compact"/>
        <w:numPr>
          <w:ilvl w:val="0"/>
          <w:numId w:val="1005"/>
        </w:numPr>
      </w:pPr>
      <w:r>
        <w:t xml:space="preserve">CASM-ex increased</w:t>
      </w:r>
      <w:r>
        <w:t xml:space="preserve"> </w:t>
      </w:r>
      <w:r>
        <w:rPr>
          <w:b/>
          <w:bCs/>
        </w:rPr>
        <w:t xml:space="preserve">6.1%</w:t>
      </w:r>
      <w:r>
        <w:t xml:space="preserve"> </w:t>
      </w:r>
      <w:r>
        <w:t xml:space="preserve">despite capacity growth, showing the cost of operational and network adjustments.</w:t>
      </w:r>
    </w:p>
    <w:p>
      <w:pPr>
        <w:pStyle w:val="Compact"/>
        <w:numPr>
          <w:ilvl w:val="0"/>
          <w:numId w:val="1005"/>
        </w:numPr>
      </w:pPr>
      <w:r>
        <w:t xml:space="preserve">Fuel expense rose</w:t>
      </w:r>
      <w:r>
        <w:t xml:space="preserve"> </w:t>
      </w:r>
      <w:r>
        <w:rPr>
          <w:b/>
          <w:bCs/>
        </w:rPr>
        <w:t xml:space="preserve">84%</w:t>
      </w:r>
      <w:r>
        <w:t xml:space="preserve"> </w:t>
      </w:r>
      <w:r>
        <w:t xml:space="preserve">year over year to</w:t>
      </w:r>
      <w:r>
        <w:t xml:space="preserve"> </w:t>
      </w:r>
      <w:r>
        <w:rPr>
          <w:b/>
          <w:bCs/>
        </w:rPr>
        <w:t xml:space="preserve">$5.1 billion</w:t>
      </w:r>
      <w:r>
        <w:t xml:space="preserve">.</w:t>
      </w:r>
    </w:p>
    <w:p>
      <w:pPr>
        <w:pStyle w:val="Compact"/>
        <w:numPr>
          <w:ilvl w:val="0"/>
          <w:numId w:val="1005"/>
        </w:numPr>
      </w:pPr>
      <w:r>
        <w:t xml:space="preserve">Free cash flow fell to</w:t>
      </w:r>
      <w:r>
        <w:t xml:space="preserve"> </w:t>
      </w:r>
      <m:oMath>
        <m:r>
          <m:t>322</m:t>
        </m:r>
        <m:r>
          <m:t>m</m:t>
        </m:r>
        <m:r>
          <m:t>i</m:t>
        </m:r>
        <m:r>
          <m:t>l</m:t>
        </m:r>
        <m:r>
          <m:t>l</m:t>
        </m:r>
        <m:r>
          <m:t>i</m:t>
        </m:r>
        <m:r>
          <m:t>o</m:t>
        </m:r>
        <m:r>
          <m:t>n</m:t>
        </m:r>
        <m:r>
          <m:rPr>
            <m:sty m:val="p"/>
          </m:rPr>
          <m:t>*</m:t>
        </m:r>
        <m:r>
          <m:rPr>
            <m:sty m:val="p"/>
          </m:rPr>
          <m:t>*</m:t>
        </m:r>
        <m:r>
          <m:t>f</m:t>
        </m:r>
        <m:r>
          <m:t>r</m:t>
        </m:r>
        <m:r>
          <m:t>o</m:t>
        </m:r>
        <m:r>
          <m:t>m</m:t>
        </m:r>
        <m:r>
          <m:rPr>
            <m:sty m:val="p"/>
          </m:rPr>
          <m:t>*</m:t>
        </m:r>
        <m:r>
          <m:rPr>
            <m:sty m:val="p"/>
          </m:rPr>
          <m:t>*</m:t>
        </m:r>
      </m:oMath>
      <w:r>
        <w:rPr>
          <w:b/>
          <w:bCs/>
        </w:rPr>
        <w:t xml:space="preserve">1.13 billion</w:t>
      </w:r>
      <w:r>
        <w:t xml:space="preserve"> </w:t>
      </w:r>
      <w:r>
        <w:t xml:space="preserve">in 2Q25.</w:t>
      </w:r>
    </w:p>
    <w:p>
      <w:pPr>
        <w:pStyle w:val="FirstParagraph"/>
      </w:pPr>
      <w:r>
        <w:t xml:space="preserve">The 3Q guide is also broad at</w:t>
      </w:r>
      <w:r>
        <w:t xml:space="preserve"> </w:t>
      </w:r>
      <m:oMath>
        <m:r>
          <m:t>2.50</m:t>
        </m:r>
        <m:r>
          <m:rPr>
            <m:sty m:val="p"/>
          </m:rPr>
          <m:t>–</m:t>
        </m:r>
      </m:oMath>
      <w:r>
        <w:rPr>
          <w:b/>
          <w:bCs/>
        </w:rPr>
        <w:t xml:space="preserve">3.50 per share</w:t>
      </w:r>
      <w:r>
        <w:t xml:space="preserve">, reflecting jet-fuel uncertainty. The call needs to establish whether the low end is principally a fuel-price scenario or whether it also embeds possible demand elasticity, operational disruption, and incremental capacity reductions.</w:t>
      </w:r>
    </w:p>
    <w:bookmarkEnd w:id="15"/>
    <w:bookmarkStart w:id="16" w:name="Xad668048b7a7bf17c3457f6d2be0c35df2688c2"/>
    <w:p>
      <w:pPr>
        <w:pStyle w:val="Heading2"/>
      </w:pPr>
      <w:r>
        <w:t xml:space="preserve">Balance sheet: better protected, but capital intensity remains high</w:t>
      </w:r>
    </w:p>
    <w:p>
      <w:pPr>
        <w:pStyle w:val="FirstParagraph"/>
      </w:pPr>
      <w:r>
        <w:t xml:space="preserve">UAL ended the quarter with</w:t>
      </w:r>
      <w:r>
        <w:t xml:space="preserve"> </w:t>
      </w:r>
      <m:oMath>
        <m:r>
          <m:t>19.6</m:t>
        </m:r>
        <m:r>
          <m:t>b</m:t>
        </m:r>
        <m:r>
          <m:t>i</m:t>
        </m:r>
        <m:r>
          <m:t>l</m:t>
        </m:r>
        <m:r>
          <m:t>l</m:t>
        </m:r>
        <m:r>
          <m:t>i</m:t>
        </m:r>
        <m:r>
          <m:t>o</m:t>
        </m:r>
        <m:r>
          <m:t>n</m:t>
        </m:r>
        <m:r>
          <m:t>o</m:t>
        </m:r>
        <m:r>
          <m:t>f</m:t>
        </m:r>
        <m:r>
          <m:t>a</m:t>
        </m:r>
        <m:r>
          <m:t>v</m:t>
        </m:r>
        <m:r>
          <m:t>a</m:t>
        </m:r>
        <m:r>
          <m:t>i</m:t>
        </m:r>
        <m:r>
          <m:t>l</m:t>
        </m:r>
        <m:r>
          <m:t>a</m:t>
        </m:r>
        <m:r>
          <m:t>b</m:t>
        </m:r>
        <m:r>
          <m:t>l</m:t>
        </m:r>
        <m:r>
          <m:t>e</m:t>
        </m:r>
        <m:r>
          <m:t>l</m:t>
        </m:r>
        <m:r>
          <m:t>i</m:t>
        </m:r>
        <m:r>
          <m:t>q</m:t>
        </m:r>
        <m:r>
          <m:t>u</m:t>
        </m:r>
        <m:r>
          <m:t>i</m:t>
        </m:r>
        <m:r>
          <m:t>d</m:t>
        </m:r>
        <m:r>
          <m:t>i</m:t>
        </m:r>
        <m:r>
          <m:t>t</m:t>
        </m:r>
        <m:r>
          <m:t>y</m:t>
        </m:r>
        <m:r>
          <m:rPr>
            <m:sty m:val="p"/>
          </m:rPr>
          <m:t>*</m:t>
        </m:r>
        <m:r>
          <m:rPr>
            <m:sty m:val="p"/>
          </m:rPr>
          <m:t>*</m:t>
        </m:r>
        <m:r>
          <m:rPr>
            <m:sty m:val="p"/>
          </m:rPr>
          <m:t>,</m:t>
        </m:r>
        <m:r>
          <m:t>i</m:t>
        </m:r>
        <m:r>
          <m:t>n</m:t>
        </m:r>
        <m:r>
          <m:t>c</m:t>
        </m:r>
        <m:r>
          <m:t>l</m:t>
        </m:r>
        <m:r>
          <m:t>u</m:t>
        </m:r>
        <m:r>
          <m:t>d</m:t>
        </m:r>
        <m:r>
          <m:t>i</m:t>
        </m:r>
        <m:r>
          <m:t>n</m:t>
        </m:r>
        <m:r>
          <m:t>g</m:t>
        </m:r>
        <m:r>
          <m:rPr>
            <m:sty m:val="p"/>
          </m:rPr>
          <m:t>*</m:t>
        </m:r>
        <m:r>
          <m:rPr>
            <m:sty m:val="p"/>
          </m:rPr>
          <m:t>*</m:t>
        </m:r>
      </m:oMath>
      <w:r>
        <w:rPr>
          <w:b/>
          <w:bCs/>
        </w:rPr>
        <w:t xml:space="preserve">10.2 billion</w:t>
      </w:r>
      <w:r>
        <w:t xml:space="preserve"> </w:t>
      </w:r>
      <w:r>
        <w:t xml:space="preserve">of cash and cash equivalents and</w:t>
      </w:r>
      <w:r>
        <w:t xml:space="preserve"> </w:t>
      </w:r>
      <m:oMath>
        <m:r>
          <m:t>6.5</m:t>
        </m:r>
        <m:r>
          <m:t>b</m:t>
        </m:r>
        <m:r>
          <m:t>i</m:t>
        </m:r>
        <m:r>
          <m:t>l</m:t>
        </m:r>
        <m:r>
          <m:t>l</m:t>
        </m:r>
        <m:r>
          <m:t>i</m:t>
        </m:r>
        <m:r>
          <m:t>o</m:t>
        </m:r>
        <m:r>
          <m:t>n</m:t>
        </m:r>
        <m:r>
          <m:rPr>
            <m:sty m:val="p"/>
          </m:rPr>
          <m:t>*</m:t>
        </m:r>
        <m:r>
          <m:rPr>
            <m:sty m:val="p"/>
          </m:rPr>
          <m:t>*</m:t>
        </m:r>
        <m:r>
          <m:t>o</m:t>
        </m:r>
        <m:r>
          <m:t>f</m:t>
        </m:r>
        <m:r>
          <m:t>s</m:t>
        </m:r>
        <m:r>
          <m:t>h</m:t>
        </m:r>
        <m:r>
          <m:t>o</m:t>
        </m:r>
        <m:r>
          <m:t>r</m:t>
        </m:r>
        <m:r>
          <m:t>t</m:t>
        </m:r>
        <m:r>
          <m:rPr>
            <m:sty m:val="p"/>
          </m:rPr>
          <m:t>−</m:t>
        </m:r>
        <m:r>
          <m:t>t</m:t>
        </m:r>
        <m:r>
          <m:t>e</m:t>
        </m:r>
        <m:r>
          <m:t>r</m:t>
        </m:r>
        <m:r>
          <m:t>m</m:t>
        </m:r>
        <m:r>
          <m:t>i</m:t>
        </m:r>
        <m:r>
          <m:t>n</m:t>
        </m:r>
        <m:r>
          <m:t>v</m:t>
        </m:r>
        <m:r>
          <m:t>e</m:t>
        </m:r>
        <m:r>
          <m:t>s</m:t>
        </m:r>
        <m:r>
          <m:t>t</m:t>
        </m:r>
        <m:r>
          <m:t>m</m:t>
        </m:r>
        <m:r>
          <m:t>e</m:t>
        </m:r>
        <m:r>
          <m:t>n</m:t>
        </m:r>
        <m:r>
          <m:t>t</m:t>
        </m:r>
        <m:r>
          <m:t>s</m:t>
        </m:r>
        <m:r>
          <m:rPr>
            <m:sty m:val="p"/>
          </m:rPr>
          <m:t>.</m:t>
        </m:r>
        <m:r>
          <m:t>D</m:t>
        </m:r>
        <m:r>
          <m:t>e</m:t>
        </m:r>
        <m:r>
          <m:t>b</m:t>
        </m:r>
        <m:r>
          <m:t>t</m:t>
        </m:r>
        <m:r>
          <m:rPr>
            <m:sty m:val="p"/>
          </m:rPr>
          <m:t>,</m:t>
        </m:r>
        <m:r>
          <m:t>f</m:t>
        </m:r>
        <m:r>
          <m:t>i</m:t>
        </m:r>
        <m:r>
          <m:t>n</m:t>
        </m:r>
        <m:r>
          <m:t>a</m:t>
        </m:r>
        <m:r>
          <m:t>n</m:t>
        </m:r>
        <m:r>
          <m:t>c</m:t>
        </m:r>
        <m:r>
          <m:t>e</m:t>
        </m:r>
        <m:r>
          <m:t>l</m:t>
        </m:r>
        <m:r>
          <m:t>e</m:t>
        </m:r>
        <m:r>
          <m:t>a</m:t>
        </m:r>
        <m:r>
          <m:t>s</m:t>
        </m:r>
        <m:r>
          <m:t>e</m:t>
        </m:r>
        <m:r>
          <m:t>s</m:t>
        </m:r>
        <m:r>
          <m:rPr>
            <m:sty m:val="p"/>
          </m:rPr>
          <m:t>,</m:t>
        </m:r>
        <m:r>
          <m:t>a</m:t>
        </m:r>
        <m:r>
          <m:t>n</m:t>
        </m:r>
        <m:r>
          <m:t>d</m:t>
        </m:r>
        <m:r>
          <m:t>o</m:t>
        </m:r>
        <m:r>
          <m:t>t</m:t>
        </m:r>
        <m:r>
          <m:t>h</m:t>
        </m:r>
        <m:r>
          <m:t>e</m:t>
        </m:r>
        <m:r>
          <m:t>r</m:t>
        </m:r>
        <m:r>
          <m:t>f</m:t>
        </m:r>
        <m:r>
          <m:t>i</m:t>
        </m:r>
        <m:r>
          <m:t>n</m:t>
        </m:r>
        <m:r>
          <m:t>a</m:t>
        </m:r>
        <m:r>
          <m:t>n</m:t>
        </m:r>
        <m:r>
          <m:t>c</m:t>
        </m:r>
        <m:r>
          <m:t>i</m:t>
        </m:r>
        <m:r>
          <m:t>a</m:t>
        </m:r>
        <m:r>
          <m:t>l</m:t>
        </m:r>
        <m:r>
          <m:t>l</m:t>
        </m:r>
        <m:r>
          <m:t>i</m:t>
        </m:r>
        <m:r>
          <m:t>a</m:t>
        </m:r>
        <m:r>
          <m:t>b</m:t>
        </m:r>
        <m:r>
          <m:t>i</m:t>
        </m:r>
        <m:r>
          <m:t>l</m:t>
        </m:r>
        <m:r>
          <m:t>i</m:t>
        </m:r>
        <m:r>
          <m:t>t</m:t>
        </m:r>
        <m:r>
          <m:t>i</m:t>
        </m:r>
        <m:r>
          <m:t>e</m:t>
        </m:r>
        <m:r>
          <m:t>s</m:t>
        </m:r>
        <m:r>
          <m:t>w</m:t>
        </m:r>
        <m:r>
          <m:t>e</m:t>
        </m:r>
        <m:r>
          <m:t>r</m:t>
        </m:r>
        <m:r>
          <m:t>e</m:t>
        </m:r>
        <m:r>
          <m:rPr>
            <m:sty m:val="p"/>
          </m:rPr>
          <m:t>*</m:t>
        </m:r>
        <m:r>
          <m:rPr>
            <m:sty m:val="p"/>
          </m:rPr>
          <m:t>*</m:t>
        </m:r>
      </m:oMath>
      <w:r>
        <w:rPr>
          <w:b/>
          <w:bCs/>
        </w:rPr>
        <w:t xml:space="preserve">26.5 billion</w:t>
      </w:r>
      <w:r>
        <w:t xml:space="preserve">, while trailing-12-month net leverage was</w:t>
      </w:r>
      <w:r>
        <w:t xml:space="preserve"> </w:t>
      </w:r>
      <w:r>
        <w:rPr>
          <w:b/>
          <w:bCs/>
        </w:rPr>
        <w:t xml:space="preserve">2.2x</w:t>
      </w:r>
      <w:r>
        <w:t xml:space="preserve">.</w:t>
      </w:r>
    </w:p>
    <w:p>
      <w:pPr>
        <w:pStyle w:val="BodyText"/>
      </w:pPr>
      <w:r>
        <w:t xml:space="preserve">Management raised</w:t>
      </w:r>
      <w:r>
        <w:t xml:space="preserve"> </w:t>
      </w:r>
      <m:oMath>
        <m:r>
          <m:t>3.7</m:t>
        </m:r>
        <m:r>
          <m:t>b</m:t>
        </m:r>
        <m:r>
          <m:t>i</m:t>
        </m:r>
        <m:r>
          <m:t>l</m:t>
        </m:r>
        <m:r>
          <m:t>l</m:t>
        </m:r>
        <m:r>
          <m:t>i</m:t>
        </m:r>
        <m:r>
          <m:t>o</m:t>
        </m:r>
        <m:r>
          <m:t>n</m:t>
        </m:r>
        <m:r>
          <m:rPr>
            <m:sty m:val="p"/>
          </m:rPr>
          <m:t>*</m:t>
        </m:r>
        <m:r>
          <m:rPr>
            <m:sty m:val="p"/>
          </m:rPr>
          <m:t>*</m:t>
        </m:r>
        <m:r>
          <m:t>i</m:t>
        </m:r>
        <m:r>
          <m:t>n</m:t>
        </m:r>
        <m:r>
          <m:t>n</m:t>
        </m:r>
        <m:r>
          <m:t>e</m:t>
        </m:r>
        <m:r>
          <m:t>w</m:t>
        </m:r>
        <m:r>
          <m:t>l</m:t>
        </m:r>
        <m:r>
          <m:t>i</m:t>
        </m:r>
        <m:r>
          <m:t>q</m:t>
        </m:r>
        <m:r>
          <m:t>u</m:t>
        </m:r>
        <m:r>
          <m:t>i</m:t>
        </m:r>
        <m:r>
          <m:t>d</m:t>
        </m:r>
        <m:r>
          <m:t>i</m:t>
        </m:r>
        <m:r>
          <m:t>t</m:t>
        </m:r>
        <m:r>
          <m:t>y</m:t>
        </m:r>
        <m:r>
          <m:t>d</m:t>
        </m:r>
        <m:r>
          <m:t>u</m:t>
        </m:r>
        <m:r>
          <m:t>r</m:t>
        </m:r>
        <m:r>
          <m:t>i</m:t>
        </m:r>
        <m:r>
          <m:t>n</m:t>
        </m:r>
        <m:r>
          <m:t>g</m:t>
        </m:r>
        <m:r>
          <m:t>t</m:t>
        </m:r>
        <m:r>
          <m:t>h</m:t>
        </m:r>
        <m:r>
          <m:t>e</m:t>
        </m:r>
        <m:r>
          <m:t>q</m:t>
        </m:r>
        <m:r>
          <m:t>u</m:t>
        </m:r>
        <m:r>
          <m:t>a</m:t>
        </m:r>
        <m:r>
          <m:t>r</m:t>
        </m:r>
        <m:r>
          <m:t>t</m:t>
        </m:r>
        <m:r>
          <m:t>e</m:t>
        </m:r>
        <m:r>
          <m:t>r</m:t>
        </m:r>
        <m:r>
          <m:t>a</m:t>
        </m:r>
        <m:r>
          <m:t>n</m:t>
        </m:r>
        <m:r>
          <m:t>d</m:t>
        </m:r>
        <m:r>
          <m:t>p</m:t>
        </m:r>
        <m:r>
          <m:t>r</m:t>
        </m:r>
        <m:r>
          <m:t>e</m:t>
        </m:r>
        <m:r>
          <m:t>p</m:t>
        </m:r>
        <m:r>
          <m:t>a</m:t>
        </m:r>
        <m:r>
          <m:t>i</m:t>
        </m:r>
        <m:r>
          <m:t>d</m:t>
        </m:r>
        <m:r>
          <m:t>a</m:t>
        </m:r>
        <m:r>
          <m:t>p</m:t>
        </m:r>
        <m:r>
          <m:t>p</m:t>
        </m:r>
        <m:r>
          <m:t>r</m:t>
        </m:r>
        <m:r>
          <m:t>o</m:t>
        </m:r>
        <m:r>
          <m:t>x</m:t>
        </m:r>
        <m:r>
          <m:t>i</m:t>
        </m:r>
        <m:r>
          <m:t>m</m:t>
        </m:r>
        <m:r>
          <m:t>a</m:t>
        </m:r>
        <m:r>
          <m:t>t</m:t>
        </m:r>
        <m:r>
          <m:t>e</m:t>
        </m:r>
        <m:r>
          <m:t>l</m:t>
        </m:r>
        <m:r>
          <m:t>y</m:t>
        </m:r>
        <m:r>
          <m:rPr>
            <m:sty m:val="p"/>
          </m:rPr>
          <m:t>*</m:t>
        </m:r>
        <m:r>
          <m:rPr>
            <m:sty m:val="p"/>
          </m:rPr>
          <m:t>*</m:t>
        </m:r>
      </m:oMath>
      <w:r>
        <w:rPr>
          <w:b/>
          <w:bCs/>
        </w:rPr>
        <w:t xml:space="preserve">1 billion</w:t>
      </w:r>
      <w:r>
        <w:t xml:space="preserve"> </w:t>
      </w:r>
      <w:r>
        <w:t xml:space="preserve">of higher-cost debt since the beginning of 2Q. This supports its target of attaining an investment-grade rating in 2026.</w:t>
      </w:r>
    </w:p>
    <w:p>
      <w:pPr>
        <w:pStyle w:val="BodyText"/>
      </w:pPr>
      <w:r>
        <w:t xml:space="preserve">However, the company still expects approximately</w:t>
      </w:r>
      <w:r>
        <w:t xml:space="preserve"> </w:t>
      </w:r>
      <w:r>
        <w:rPr>
          <w:b/>
          <w:bCs/>
        </w:rPr>
        <w:t xml:space="preserve">$7.5 billion</w:t>
      </w:r>
      <w:r>
        <w:t xml:space="preserve"> </w:t>
      </w:r>
      <w:r>
        <w:t xml:space="preserve">of adjusted capital expenditures in 2026. Investors should watch for the balance between:</w:t>
      </w:r>
    </w:p>
    <w:p>
      <w:pPr>
        <w:pStyle w:val="Compact"/>
        <w:numPr>
          <w:ilvl w:val="0"/>
          <w:numId w:val="1006"/>
        </w:numPr>
      </w:pPr>
      <w:r>
        <w:t xml:space="preserve">aircraft and product investment;</w:t>
      </w:r>
    </w:p>
    <w:p>
      <w:pPr>
        <w:pStyle w:val="Compact"/>
        <w:numPr>
          <w:ilvl w:val="0"/>
          <w:numId w:val="1006"/>
        </w:numPr>
      </w:pPr>
      <w:r>
        <w:t xml:space="preserve">debt paydown;</w:t>
      </w:r>
    </w:p>
    <w:p>
      <w:pPr>
        <w:pStyle w:val="Compact"/>
        <w:numPr>
          <w:ilvl w:val="0"/>
          <w:numId w:val="1006"/>
        </w:numPr>
      </w:pPr>
      <w:r>
        <w:t xml:space="preserve">free-cash-flow conversion; and</w:t>
      </w:r>
    </w:p>
    <w:p>
      <w:pPr>
        <w:pStyle w:val="Compact"/>
        <w:numPr>
          <w:ilvl w:val="0"/>
          <w:numId w:val="1006"/>
        </w:numPr>
      </w:pPr>
      <w:r>
        <w:t xml:space="preserve">any resumption or expansion of share repurchases.</w:t>
      </w:r>
    </w:p>
    <w:bookmarkEnd w:id="16"/>
    <w:bookmarkStart w:id="17" w:name="key-call-questions"/>
    <w:p>
      <w:pPr>
        <w:pStyle w:val="Heading2"/>
      </w:pPr>
      <w:r>
        <w:t xml:space="preserve">Key call questions</w:t>
      </w:r>
    </w:p>
    <w:p>
      <w:pPr>
        <w:pStyle w:val="Compact"/>
        <w:numPr>
          <w:ilvl w:val="0"/>
          <w:numId w:val="1007"/>
        </w:numPr>
      </w:pPr>
      <w:r>
        <w:rPr>
          <w:b/>
          <w:bCs/>
        </w:rPr>
        <w:t xml:space="preserve">What specific booking, yield, and load-factor trends support TRASM growth above 12.1% in both 3Q and 4Q?</w:t>
      </w:r>
    </w:p>
    <w:p>
      <w:pPr>
        <w:pStyle w:val="Compact"/>
        <w:numPr>
          <w:ilvl w:val="0"/>
          <w:numId w:val="1007"/>
        </w:numPr>
      </w:pPr>
      <w:r>
        <w:rPr>
          <w:b/>
          <w:bCs/>
        </w:rPr>
        <w:t xml:space="preserve">How much 3Q and 4Q capacity is now expected to be removed, and where?</w:t>
      </w:r>
    </w:p>
    <w:p>
      <w:pPr>
        <w:pStyle w:val="Compact"/>
        <w:numPr>
          <w:ilvl w:val="0"/>
          <w:numId w:val="1007"/>
        </w:numPr>
      </w:pPr>
      <w:r>
        <w:rPr>
          <w:b/>
          <w:bCs/>
        </w:rPr>
        <w:t xml:space="preserve">What portion of the 3Q EPS range is explained by fuel versus demand and operational assumptions?</w:t>
      </w:r>
    </w:p>
    <w:p>
      <w:pPr>
        <w:pStyle w:val="Compact"/>
        <w:numPr>
          <w:ilvl w:val="0"/>
          <w:numId w:val="1007"/>
        </w:numPr>
      </w:pPr>
      <w:r>
        <w:rPr>
          <w:b/>
          <w:bCs/>
        </w:rPr>
        <w:t xml:space="preserve">How sustainable is the 27% contracted-business revenue growth rate, particularly after the summer peak?</w:t>
      </w:r>
    </w:p>
    <w:p>
      <w:pPr>
        <w:pStyle w:val="Compact"/>
        <w:numPr>
          <w:ilvl w:val="0"/>
          <w:numId w:val="1007"/>
        </w:numPr>
      </w:pPr>
      <w:r>
        <w:rPr>
          <w:b/>
          <w:bCs/>
        </w:rPr>
        <w:t xml:space="preserve">Can premium, loyalty, and merchandising initiatives produce structural margin gains once fuel normalizes?</w:t>
      </w:r>
    </w:p>
    <w:p>
      <w:pPr>
        <w:pStyle w:val="Compact"/>
        <w:numPr>
          <w:ilvl w:val="0"/>
          <w:numId w:val="1007"/>
        </w:numPr>
      </w:pPr>
      <w:r>
        <w:rPr>
          <w:b/>
          <w:bCs/>
        </w:rPr>
        <w:t xml:space="preserve">What is the expected timing for investment-grade status, and how would that change capital allocation?</w:t>
      </w:r>
    </w:p>
    <w:p>
      <w:pPr>
        <w:pStyle w:val="Compact"/>
        <w:numPr>
          <w:ilvl w:val="0"/>
          <w:numId w:val="1007"/>
        </w:numPr>
      </w:pPr>
      <w:r>
        <w:rPr>
          <w:b/>
          <w:bCs/>
        </w:rPr>
        <w:t xml:space="preserve">How should investors think about the ORD FAA restrictions’ impact on United’s growth, schedule flexibility, and Chicago share gains?</w:t>
      </w:r>
    </w:p>
    <w:bookmarkEnd w:id="17"/>
    <w:bookmarkStart w:id="18" w:name="bottom-line"/>
    <w:p>
      <w:pPr>
        <w:pStyle w:val="Heading2"/>
      </w:pPr>
      <w:r>
        <w:t xml:space="preserve">Bottom line</w:t>
      </w:r>
    </w:p>
    <w:p>
      <w:pPr>
        <w:pStyle w:val="FirstParagraph"/>
      </w:pPr>
      <w:r>
        <w:t xml:space="preserve">UAL’s 2Q report supports the view that its revenue engine is working:</w:t>
      </w:r>
      <w:r>
        <w:t xml:space="preserve"> </w:t>
      </w:r>
      <w:r>
        <w:rPr>
          <w:b/>
          <w:bCs/>
        </w:rPr>
        <w:t xml:space="preserve">TRASM rose 12.1%, yield rose 12.1%, and revenue increased 16% despite modest capacity growth.</w:t>
      </w:r>
      <w:r>
        <w:t xml:space="preserve"> </w:t>
      </w:r>
      <w:r>
        <w:t xml:space="preserve">The raised full-year guide is a meaningful positive.</w:t>
      </w:r>
    </w:p>
    <w:p>
      <w:pPr>
        <w:pStyle w:val="BodyText"/>
      </w:pPr>
      <w:r>
        <w:t xml:space="preserve">But this is now fundamentally a</w:t>
      </w:r>
      <w:r>
        <w:t xml:space="preserve"> </w:t>
      </w:r>
      <w:r>
        <w:rPr>
          <w:b/>
          <w:bCs/>
        </w:rPr>
        <w:t xml:space="preserve">fuel-pass-through and execution story</w:t>
      </w:r>
      <w:r>
        <w:t xml:space="preserve">. United still needs to translate strong demand and pricing into a substantially better second-half margin outcome. The most important signal from the call will be whether management offers concrete evidence that 3Q pricing, bookings, and capacity actions are progressing well enough to validate its goal of recovering nearly all of the fuel shock by year-end.</w:t>
      </w:r>
    </w:p>
    <w:p>
      <w:pPr>
        <w:pStyle w:val="BodyText"/>
      </w:pPr>
      <w:r>
        <w:rPr>
          <w:b/>
          <w:bCs/>
        </w:rPr>
        <w:t xml:space="preserve">Investor takeaway:</w:t>
      </w:r>
      <w:r>
        <w:t xml:space="preserve"> </w:t>
      </w:r>
      <w:r>
        <w:t xml:space="preserve">constructive setup after the release, but the stock likely needs confirmation that elevated unit-revenue growth is holding into July and that the 3Q EPS range is primarily a fuel-curve issue—not an early warning of demand erosion.</w:t>
      </w:r>
    </w:p>
    <w:p>
      <w:pPr>
        <w:pStyle w:val="BodyText"/>
      </w:pPr>
      <w:r>
        <w:rPr>
          <w:i/>
          <w:iCs/>
        </w:rPr>
        <w:t xml:space="preserve">Sources reviewed: United’s July 15, 2026 earnings release and investor update; United’s 1Q26 earnings-call transcript; recent UAL price data.</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2026-07-16T01:23:13Z</dcterms:created>
  <dcterms:modified xsi:type="dcterms:W3CDTF">2026-07-16T01:23:13Z</dcterms:modified>
</cp:coreProperties>
</file>

<file path=docProps/custom.xml><?xml version="1.0" encoding="utf-8"?>
<Properties xmlns="http://schemas.openxmlformats.org/officeDocument/2006/custom-properties" xmlns:vt="http://schemas.openxmlformats.org/officeDocument/2006/docPropsVTypes"/>
</file>