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United Airlines Holdings (UAL) — Q2 2026 Earnings Preview</w:t>
      </w:r>
    </w:p>
    <w:p>
      <w:r>
        <w:rPr>
          <w:rFonts w:ascii="Calibri" w:hAnsi="Calibri"/>
          <w:b/>
          <w:color w:val="525866"/>
          <w:sz w:val="22"/>
        </w:rPr>
        <w:t xml:space="preserve">Company: </w:t>
      </w:r>
      <w:r>
        <w:rPr>
          <w:rFonts w:ascii="Calibri" w:hAnsi="Calibri"/>
          <w:color w:val="525866"/>
          <w:sz w:val="22"/>
        </w:rPr>
        <w:t xml:space="preserve">United Airlines Holdings, Inc. (NASDAQ: UAL)   </w:t>
      </w:r>
      <w:r>
        <w:rPr>
          <w:rFonts w:ascii="Calibri" w:hAnsi="Calibri"/>
          <w:b/>
          <w:color w:val="525866"/>
          <w:sz w:val="22"/>
        </w:rPr>
        <w:t xml:space="preserve">Earnings Date: </w:t>
      </w:r>
      <w:r>
        <w:rPr>
          <w:rFonts w:ascii="Calibri" w:hAnsi="Calibri"/>
          <w:color w:val="525866"/>
          <w:sz w:val="22"/>
        </w:rPr>
        <w:t xml:space="preserve">July 15, 2026 (Reported Today, After Market Close)   </w:t>
      </w:r>
      <w:r>
        <w:rPr>
          <w:rFonts w:ascii="Calibri" w:hAnsi="Calibri"/>
          <w:b/>
          <w:color w:val="525866"/>
          <w:sz w:val="22"/>
        </w:rPr>
        <w:t xml:space="preserve">Prepared: </w:t>
      </w:r>
      <w:r>
        <w:rPr>
          <w:rFonts w:ascii="Calibri" w:hAnsi="Calibri"/>
          <w:color w:val="525866"/>
          <w:sz w:val="22"/>
        </w:rPr>
        <w:t>July 15,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favors a beat — UAL has beaten EPS consensus in all 8 of the last 8 quarters, consensus of ~$1.90 sits near the top of the $1–$2 guidance range, and Delta's Q2 print on July 10 (EPS $1.56, fuel at $3.93/gallon vs. UAL's $4.30 assumption) provided a strong positive read-through; the single biggest swing factor is </w:t>
      </w:r>
      <w:r>
        <w:rPr>
          <w:rFonts w:ascii="Calibri" w:hAnsi="Calibri"/>
          <w:b/>
          <w:color w:val="525866"/>
          <w:sz w:val="22"/>
        </w:rPr>
        <w:t>how much of the fuel cost decline flows through to the bottom line</w:t>
      </w:r>
      <w:r>
        <w:rPr>
          <w:rFonts w:ascii="Calibri" w:hAnsi="Calibri"/>
          <w:color w:val="525866"/>
          <w:sz w:val="22"/>
        </w:rPr>
        <w:t xml:space="preserve"> versus being competed away in fares.</w:t>
      </w:r>
    </w:p>
    <w:p>
      <w:r>
        <w:rPr>
          <w:rFonts w:ascii="Calibri" w:hAnsi="Calibri"/>
          <w:color w:val="525866"/>
          <w:sz w:val="22"/>
        </w:rPr>
        <w:t xml:space="preserve">Heading into the Q2 2026 print, the bar for UAL is a wide-range guide of </w:t>
      </w:r>
      <w:r>
        <w:rPr>
          <w:rFonts w:ascii="Calibri" w:hAnsi="Calibri"/>
          <w:b/>
          <w:color w:val="525866"/>
          <w:sz w:val="22"/>
        </w:rPr>
        <w:t>$1.00–$2.00 EPS</w:t>
      </w:r>
      <w:r>
        <w:rPr>
          <w:rFonts w:ascii="Calibri" w:hAnsi="Calibri"/>
          <w:color w:val="525866"/>
          <w:sz w:val="22"/>
        </w:rPr>
        <w:t xml:space="preserve"> — deliberately set wide to account for Iran-war fuel uncertainty — with consensus of ~$1.90 implying the Street has already priced in a favorable fuel outcome near the top of the range. Management's posture on the Q1 call was </w:t>
      </w:r>
      <w:r>
        <w:rPr>
          <w:rFonts w:ascii="Calibri" w:hAnsi="Calibri"/>
          <w:b/>
          <w:color w:val="525866"/>
          <w:sz w:val="22"/>
        </w:rPr>
        <w:t>cautiously optimistic</w:t>
      </w:r>
      <w:r>
        <w:rPr>
          <w:rFonts w:ascii="Calibri" w:hAnsi="Calibri"/>
          <w:color w:val="525866"/>
          <w:sz w:val="22"/>
        </w:rPr>
        <w:t xml:space="preserve">: demand remained robust with no visible destruction despite five broad fare increases, business revenue was up 25% in the final weeks of April, and sell-in yields for all future travel were up 20% YoY — all pointing to a strong Q2 setup. Estimate revisions have drifted meaningfully higher since Q1 earnings, with the FY 2026 consensus rising from ~$9.00 to ~$10.70 as oil prices declined from the ~$4.30 guidance assumption toward ~$4.19 actual, pulling forward the fuel recovery timeline and giving the Street confidence that UAL will land in the upper half of its $7–$11 full-year range. The stock has already priced in a significant portion of the good news — </w:t>
      </w:r>
      <w:r>
        <w:rPr>
          <w:rFonts w:ascii="Calibri" w:hAnsi="Calibri"/>
          <w:b/>
          <w:color w:val="525866"/>
          <w:sz w:val="22"/>
        </w:rPr>
        <w:t>UAL rallied +24.5%</w:t>
      </w:r>
      <w:r>
        <w:rPr>
          <w:rFonts w:ascii="Calibri" w:hAnsi="Calibri"/>
          <w:color w:val="525866"/>
          <w:sz w:val="22"/>
        </w:rPr>
        <w:t xml:space="preserve"> from $97.13 to $120.97 since Q1 earnings, outperforming the JETS airline ETF (+16.8%) and the S&amp;P 500 (+7.2%) by wide margins — so the stock needs a clean beat plus constructive Q3 guidance to sustain momentum from current levels. The key wildcard is the </w:t>
      </w:r>
      <w:r>
        <w:rPr>
          <w:rFonts w:ascii="Calibri" w:hAnsi="Calibri"/>
          <w:b/>
          <w:color w:val="525866"/>
          <w:sz w:val="22"/>
        </w:rPr>
        <w:t>fuel price trajectory and fare stickiness</w:t>
      </w:r>
      <w:r>
        <w:rPr>
          <w:rFonts w:ascii="Calibri" w:hAnsi="Calibri"/>
          <w:color w:val="525866"/>
          <w:sz w:val="22"/>
        </w:rPr>
        <w:t>: if oil prices re-escalate or if management signals that fare increases are not fully covering the fuel burden in Q3, the stock could give back a meaningful portion of its post-Q1 gains despite a solid Q2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moderately high bar — the $1.90 EPS estimate sits near the top of management's $1–$2 guidance range, implying the Street has already priced in a favorable fuel outcome; </w:t>
      </w:r>
      <w:r>
        <w:rPr>
          <w:rFonts w:ascii="Calibri" w:hAnsi="Calibri"/>
          <w:b/>
          <w:color w:val="525866"/>
          <w:sz w:val="22"/>
        </w:rPr>
        <w:t>RASM is the bigger swing factor</w:t>
      </w:r>
      <w:r>
        <w:rPr>
          <w:rFonts w:ascii="Calibri" w:hAnsi="Calibri"/>
          <w:color w:val="525866"/>
          <w:sz w:val="22"/>
        </w:rPr>
        <w:t>, with a +12.5% YoY consensus estimate that needs to be validated by actual yield data, while EPS upside is more mechanical (fuel price vs. guidance assumption).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Total Revenue</w:t>
            </w:r>
          </w:p>
        </w:tc>
        <w:tc>
          <w:tcPr>
            <w:tcW w:type="dxa" w:w="1234"/>
          </w:tcPr>
          <w:p>
            <w:r>
              <w:rPr>
                <w:rFonts w:ascii="Calibri" w:hAnsi="Calibri"/>
                <w:sz w:val="22"/>
              </w:rPr>
              <w:t>$14.61B</w:t>
            </w:r>
          </w:p>
        </w:tc>
        <w:tc>
          <w:tcPr>
            <w:tcW w:type="dxa" w:w="1234"/>
          </w:tcPr>
          <w:p>
            <w:r>
              <w:rPr>
                <w:rFonts w:ascii="Calibri" w:hAnsi="Calibri"/>
                <w:sz w:val="22"/>
              </w:rPr>
              <w:t>$15.24B</w:t>
            </w:r>
          </w:p>
        </w:tc>
        <w:tc>
          <w:tcPr>
            <w:tcW w:type="dxa" w:w="1234"/>
          </w:tcPr>
          <w:p>
            <w:r>
              <w:rPr>
                <w:rFonts w:ascii="Calibri" w:hAnsi="Calibri"/>
                <w:sz w:val="22"/>
              </w:rPr>
              <w:t>$17.62B</w:t>
            </w:r>
          </w:p>
        </w:tc>
        <w:tc>
          <w:tcPr>
            <w:tcW w:type="dxa" w:w="1234"/>
          </w:tcPr>
          <w:p>
            <w:r>
              <w:rPr>
                <w:rFonts w:ascii="Calibri" w:hAnsi="Calibri"/>
                <w:b/>
                <w:color w:val="30A46C"/>
                <w:sz w:val="22"/>
              </w:rPr>
              <w:t>+15.6%</w:t>
            </w:r>
          </w:p>
        </w:tc>
        <w:tc>
          <w:tcPr>
            <w:tcW w:type="dxa" w:w="1234"/>
          </w:tcPr>
          <w:p>
            <w:r>
              <w:rPr>
                <w:rFonts w:ascii="Calibri" w:hAnsi="Calibri"/>
                <w:sz w:val="22"/>
              </w:rPr>
              <w:t>Double-digit RASM growth</w:t>
            </w:r>
          </w:p>
        </w:tc>
        <w:tc>
          <w:tcPr>
            <w:tcW w:type="dxa" w:w="1234"/>
          </w:tcPr>
          <w:p>
            <w:r>
              <w:rPr>
                <w:rFonts w:ascii="Calibri" w:hAnsi="Calibri"/>
                <w:sz w:val="22"/>
              </w:rPr>
              <w:t>Above implied midpoint</w:t>
            </w:r>
          </w:p>
        </w:tc>
      </w:tr>
      <w:tr>
        <w:tc>
          <w:tcPr>
            <w:tcW w:type="dxa" w:w="1234"/>
          </w:tcPr>
          <w:p>
            <w:r>
              <w:rPr>
                <w:rFonts w:ascii="Calibri" w:hAnsi="Calibri"/>
                <w:sz w:val="22"/>
              </w:rPr>
              <w:t>Adj. EPS (Diluted)</w:t>
            </w:r>
          </w:p>
        </w:tc>
        <w:tc>
          <w:tcPr>
            <w:tcW w:type="dxa" w:w="1234"/>
          </w:tcPr>
          <w:p>
            <w:r>
              <w:rPr>
                <w:rFonts w:ascii="Calibri" w:hAnsi="Calibri"/>
                <w:sz w:val="22"/>
              </w:rPr>
              <w:t>$1.19</w:t>
            </w:r>
          </w:p>
        </w:tc>
        <w:tc>
          <w:tcPr>
            <w:tcW w:type="dxa" w:w="1234"/>
          </w:tcPr>
          <w:p>
            <w:r>
              <w:rPr>
                <w:rFonts w:ascii="Calibri" w:hAnsi="Calibri"/>
                <w:sz w:val="22"/>
              </w:rPr>
              <w:t>$3.87</w:t>
            </w:r>
          </w:p>
        </w:tc>
        <w:tc>
          <w:tcPr>
            <w:tcW w:type="dxa" w:w="1234"/>
          </w:tcPr>
          <w:p>
            <w:r>
              <w:rPr>
                <w:rFonts w:ascii="Calibri" w:hAnsi="Calibri"/>
                <w:sz w:val="22"/>
              </w:rPr>
              <w:t>$1.90</w:t>
            </w:r>
          </w:p>
        </w:tc>
        <w:tc>
          <w:tcPr>
            <w:tcW w:type="dxa" w:w="1234"/>
          </w:tcPr>
          <w:p>
            <w:r>
              <w:rPr>
                <w:rFonts w:ascii="Calibri" w:hAnsi="Calibri"/>
                <w:b/>
                <w:color w:val="E5484D"/>
                <w:sz w:val="22"/>
              </w:rPr>
              <w:t>-51% YoY</w:t>
            </w:r>
          </w:p>
        </w:tc>
        <w:tc>
          <w:tcPr>
            <w:tcW w:type="dxa" w:w="1234"/>
          </w:tcPr>
          <w:p>
            <w:r>
              <w:rPr>
                <w:rFonts w:ascii="Calibri" w:hAnsi="Calibri"/>
                <w:sz w:val="22"/>
              </w:rPr>
              <w:t>$1.00–$2.00</w:t>
            </w:r>
          </w:p>
        </w:tc>
        <w:tc>
          <w:tcPr>
            <w:tcW w:type="dxa" w:w="1234"/>
          </w:tcPr>
          <w:p>
            <w:r>
              <w:rPr>
                <w:rFonts w:ascii="Calibri" w:hAnsi="Calibri"/>
                <w:sz w:val="22"/>
              </w:rPr>
              <w:t>Near top of range</w:t>
            </w:r>
          </w:p>
        </w:tc>
      </w:tr>
      <w:tr>
        <w:tc>
          <w:tcPr>
            <w:tcW w:type="dxa" w:w="1234"/>
          </w:tcPr>
          <w:p>
            <w:r>
              <w:rPr>
                <w:rFonts w:ascii="Calibri" w:hAnsi="Calibri"/>
                <w:sz w:val="22"/>
              </w:rPr>
              <w:t>CASM-ex (¢/ASM)</w:t>
            </w:r>
          </w:p>
        </w:tc>
        <w:tc>
          <w:tcPr>
            <w:tcW w:type="dxa" w:w="1234"/>
          </w:tcPr>
          <w:p>
            <w:r>
              <w:rPr>
                <w:rFonts w:ascii="Calibri" w:hAnsi="Calibri"/>
                <w:sz w:val="22"/>
              </w:rPr>
              <w:t>14.02¢</w:t>
            </w:r>
          </w:p>
        </w:tc>
        <w:tc>
          <w:tcPr>
            <w:tcW w:type="dxa" w:w="1234"/>
          </w:tcPr>
          <w:p>
            <w:r>
              <w:rPr>
                <w:rFonts w:ascii="Calibri" w:hAnsi="Calibri"/>
                <w:sz w:val="22"/>
              </w:rPr>
              <w:t>12.59¢</w:t>
            </w:r>
          </w:p>
        </w:tc>
        <w:tc>
          <w:tcPr>
            <w:tcW w:type="dxa" w:w="1234"/>
          </w:tcPr>
          <w:p>
            <w:r>
              <w:rPr>
                <w:rFonts w:ascii="Calibri" w:hAnsi="Calibri"/>
                <w:sz w:val="22"/>
              </w:rPr>
              <w:t>13.25¢</w:t>
            </w:r>
          </w:p>
        </w:tc>
        <w:tc>
          <w:tcPr>
            <w:tcW w:type="dxa" w:w="1234"/>
          </w:tcPr>
          <w:p>
            <w:r>
              <w:rPr>
                <w:rFonts w:ascii="Calibri" w:hAnsi="Calibri"/>
                <w:b/>
                <w:color w:val="E5484D"/>
                <w:sz w:val="22"/>
              </w:rPr>
              <w:t>+5.2% YoY</w:t>
            </w:r>
          </w:p>
        </w:tc>
        <w:tc>
          <w:tcPr>
            <w:tcW w:type="dxa" w:w="1234"/>
          </w:tcPr>
          <w:p>
            <w:r>
              <w:rPr>
                <w:rFonts w:ascii="Calibri" w:hAnsi="Calibri"/>
                <w:sz w:val="22"/>
              </w:rPr>
              <w:t>Pressured by capacity cuts</w:t>
            </w:r>
          </w:p>
        </w:tc>
        <w:tc>
          <w:tcPr>
            <w:tcW w:type="dxa" w:w="1234"/>
          </w:tcPr>
          <w:p>
            <w:r>
              <w:rPr>
                <w:rFonts w:ascii="Calibri" w:hAnsi="Calibri"/>
                <w:sz w:val="22"/>
              </w:rPr>
              <w:t>N/A</w:t>
            </w:r>
          </w:p>
        </w:tc>
      </w:tr>
      <w:tr>
        <w:tc>
          <w:tcPr>
            <w:tcW w:type="dxa" w:w="1234"/>
          </w:tcPr>
          <w:p>
            <w:r>
              <w:rPr>
                <w:rFonts w:ascii="Calibri" w:hAnsi="Calibri"/>
                <w:sz w:val="22"/>
              </w:rPr>
              <w:t>RASM (¢/ASM)</w:t>
            </w:r>
          </w:p>
        </w:tc>
        <w:tc>
          <w:tcPr>
            <w:tcW w:type="dxa" w:w="1234"/>
          </w:tcPr>
          <w:p>
            <w:r>
              <w:rPr>
                <w:rFonts w:ascii="Calibri" w:hAnsi="Calibri"/>
                <w:sz w:val="22"/>
              </w:rPr>
              <w:t>18.80¢</w:t>
            </w:r>
          </w:p>
        </w:tc>
        <w:tc>
          <w:tcPr>
            <w:tcW w:type="dxa" w:w="1234"/>
          </w:tcPr>
          <w:p>
            <w:r>
              <w:rPr>
                <w:rFonts w:ascii="Calibri" w:hAnsi="Calibri"/>
                <w:sz w:val="22"/>
              </w:rPr>
              <w:t>18.06¢</w:t>
            </w:r>
          </w:p>
        </w:tc>
        <w:tc>
          <w:tcPr>
            <w:tcW w:type="dxa" w:w="1234"/>
          </w:tcPr>
          <w:p>
            <w:r>
              <w:rPr>
                <w:rFonts w:ascii="Calibri" w:hAnsi="Calibri"/>
                <w:sz w:val="22"/>
              </w:rPr>
              <w:t>20.31¢</w:t>
            </w:r>
          </w:p>
        </w:tc>
        <w:tc>
          <w:tcPr>
            <w:tcW w:type="dxa" w:w="1234"/>
          </w:tcPr>
          <w:p>
            <w:r>
              <w:rPr>
                <w:rFonts w:ascii="Calibri" w:hAnsi="Calibri"/>
                <w:b/>
                <w:color w:val="30A46C"/>
                <w:sz w:val="22"/>
              </w:rPr>
              <w:t>+12.5% YoY</w:t>
            </w:r>
          </w:p>
        </w:tc>
        <w:tc>
          <w:tcPr>
            <w:tcW w:type="dxa" w:w="1234"/>
          </w:tcPr>
          <w:p>
            <w:r>
              <w:rPr>
                <w:rFonts w:ascii="Calibri" w:hAnsi="Calibri"/>
                <w:sz w:val="22"/>
              </w:rPr>
              <w:t>Double-digit YoY increase</w:t>
            </w:r>
          </w:p>
        </w:tc>
        <w:tc>
          <w:tcPr>
            <w:tcW w:type="dxa" w:w="1234"/>
          </w:tcPr>
          <w:p>
            <w:r>
              <w:rPr>
                <w:rFonts w:ascii="Calibri" w:hAnsi="Calibri"/>
                <w:sz w:val="22"/>
              </w:rPr>
              <w:t>In line with guidance</w:t>
            </w:r>
          </w:p>
        </w:tc>
      </w:tr>
      <w:tr>
        <w:tc>
          <w:tcPr>
            <w:tcW w:type="dxa" w:w="1234"/>
          </w:tcPr>
          <w:p>
            <w:r>
              <w:rPr>
                <w:rFonts w:ascii="Calibri" w:hAnsi="Calibri"/>
                <w:sz w:val="22"/>
              </w:rPr>
              <w:t>Load Factor</w:t>
            </w:r>
          </w:p>
        </w:tc>
        <w:tc>
          <w:tcPr>
            <w:tcW w:type="dxa" w:w="1234"/>
          </w:tcPr>
          <w:p>
            <w:r>
              <w:rPr>
                <w:rFonts w:ascii="Calibri" w:hAnsi="Calibri"/>
                <w:sz w:val="22"/>
              </w:rPr>
              <w:t>81.6%</w:t>
            </w:r>
          </w:p>
        </w:tc>
        <w:tc>
          <w:tcPr>
            <w:tcW w:type="dxa" w:w="1234"/>
          </w:tcPr>
          <w:p>
            <w:r>
              <w:rPr>
                <w:rFonts w:ascii="Calibri" w:hAnsi="Calibri"/>
                <w:sz w:val="22"/>
              </w:rPr>
              <w:t>83.1%</w:t>
            </w:r>
          </w:p>
        </w:tc>
        <w:tc>
          <w:tcPr>
            <w:tcW w:type="dxa" w:w="1234"/>
          </w:tcPr>
          <w:p>
            <w:r>
              <w:rPr>
                <w:rFonts w:ascii="Calibri" w:hAnsi="Calibri"/>
                <w:sz w:val="22"/>
              </w:rPr>
              <w:t>84.0%</w:t>
            </w:r>
          </w:p>
        </w:tc>
        <w:tc>
          <w:tcPr>
            <w:tcW w:type="dxa" w:w="1234"/>
          </w:tcPr>
          <w:p>
            <w:r>
              <w:rPr>
                <w:rFonts w:ascii="Calibri" w:hAnsi="Calibri"/>
                <w:sz w:val="22"/>
              </w:rPr>
              <w:t>+0.9pp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ASMs (Billions)</w:t>
            </w:r>
          </w:p>
        </w:tc>
        <w:tc>
          <w:tcPr>
            <w:tcW w:type="dxa" w:w="1234"/>
          </w:tcPr>
          <w:p>
            <w:r>
              <w:rPr>
                <w:rFonts w:ascii="Calibri" w:hAnsi="Calibri"/>
                <w:sz w:val="22"/>
              </w:rPr>
              <w:t>77.7B</w:t>
            </w:r>
          </w:p>
        </w:tc>
        <w:tc>
          <w:tcPr>
            <w:tcW w:type="dxa" w:w="1234"/>
          </w:tcPr>
          <w:p>
            <w:r>
              <w:rPr>
                <w:rFonts w:ascii="Calibri" w:hAnsi="Calibri"/>
                <w:sz w:val="22"/>
              </w:rPr>
              <w:t>84.3B</w:t>
            </w:r>
          </w:p>
        </w:tc>
        <w:tc>
          <w:tcPr>
            <w:tcW w:type="dxa" w:w="1234"/>
          </w:tcPr>
          <w:p>
            <w:r>
              <w:rPr>
                <w:rFonts w:ascii="Calibri" w:hAnsi="Calibri"/>
                <w:sz w:val="22"/>
              </w:rPr>
              <w:t>86.8B</w:t>
            </w:r>
          </w:p>
        </w:tc>
        <w:tc>
          <w:tcPr>
            <w:tcW w:type="dxa" w:w="1234"/>
          </w:tcPr>
          <w:p>
            <w:r>
              <w:rPr>
                <w:rFonts w:ascii="Calibri" w:hAnsi="Calibri"/>
                <w:sz w:val="22"/>
              </w:rPr>
              <w:t>+2.9% YoY</w:t>
            </w:r>
          </w:p>
        </w:tc>
        <w:tc>
          <w:tcPr>
            <w:tcW w:type="dxa" w:w="1234"/>
          </w:tcPr>
          <w:p>
            <w:r>
              <w:rPr>
                <w:rFonts w:ascii="Calibri" w:hAnsi="Calibri"/>
                <w:sz w:val="22"/>
              </w:rPr>
              <w:t>~Flat to +4% summer</w:t>
            </w:r>
          </w:p>
        </w:tc>
        <w:tc>
          <w:tcPr>
            <w:tcW w:type="dxa" w:w="1234"/>
          </w:tcPr>
          <w:p>
            <w:r>
              <w:rPr>
                <w:rFonts w:ascii="Calibri" w:hAnsi="Calibri"/>
                <w:sz w:val="22"/>
              </w:rPr>
              <w:t>In line</w:t>
            </w:r>
          </w:p>
        </w:tc>
      </w:tr>
      <w:tr>
        <w:tc>
          <w:tcPr>
            <w:tcW w:type="dxa" w:w="1234"/>
          </w:tcPr>
          <w:p>
            <w:r>
              <w:rPr>
                <w:rFonts w:ascii="Calibri" w:hAnsi="Calibri"/>
                <w:sz w:val="22"/>
              </w:rPr>
              <w:t>Fuel Price/Gallon</w:t>
            </w:r>
          </w:p>
        </w:tc>
        <w:tc>
          <w:tcPr>
            <w:tcW w:type="dxa" w:w="1234"/>
          </w:tcPr>
          <w:p>
            <w:r>
              <w:rPr>
                <w:rFonts w:ascii="Calibri" w:hAnsi="Calibri"/>
                <w:sz w:val="22"/>
              </w:rPr>
              <w:t>$2.78</w:t>
            </w:r>
          </w:p>
        </w:tc>
        <w:tc>
          <w:tcPr>
            <w:tcW w:type="dxa" w:w="1234"/>
          </w:tcPr>
          <w:p>
            <w:r>
              <w:rPr>
                <w:rFonts w:ascii="Calibri" w:hAnsi="Calibri"/>
                <w:sz w:val="22"/>
              </w:rPr>
              <w:t>$2.34</w:t>
            </w:r>
          </w:p>
        </w:tc>
        <w:tc>
          <w:tcPr>
            <w:tcW w:type="dxa" w:w="1234"/>
          </w:tcPr>
          <w:p>
            <w:r>
              <w:rPr>
                <w:rFonts w:ascii="Calibri" w:hAnsi="Calibri"/>
                <w:sz w:val="22"/>
              </w:rPr>
              <w:t>$4.21</w:t>
            </w:r>
          </w:p>
        </w:tc>
        <w:tc>
          <w:tcPr>
            <w:tcW w:type="dxa" w:w="1234"/>
          </w:tcPr>
          <w:p>
            <w:r>
              <w:rPr>
                <w:rFonts w:ascii="Calibri" w:hAnsi="Calibri"/>
                <w:b/>
                <w:color w:val="E5484D"/>
                <w:sz w:val="22"/>
              </w:rPr>
              <w:t>+80% YoY</w:t>
            </w:r>
          </w:p>
        </w:tc>
        <w:tc>
          <w:tcPr>
            <w:tcW w:type="dxa" w:w="1234"/>
          </w:tcPr>
          <w:p>
            <w:r>
              <w:rPr>
                <w:rFonts w:ascii="Calibri" w:hAnsi="Calibri"/>
                <w:sz w:val="22"/>
              </w:rPr>
              <w:t>~$4.30 assumption</w:t>
            </w:r>
          </w:p>
        </w:tc>
        <w:tc>
          <w:tcPr>
            <w:tcW w:type="dxa" w:w="1234"/>
          </w:tcPr>
          <w:p>
            <w:r>
              <w:rPr>
                <w:rFonts w:ascii="Calibri" w:hAnsi="Calibri"/>
                <w:sz w:val="22"/>
              </w:rPr>
              <w:t>Slightly better than guided</w:t>
            </w:r>
          </w:p>
        </w:tc>
      </w:tr>
      <w:tr>
        <w:tc>
          <w:tcPr>
            <w:tcW w:type="dxa" w:w="1234"/>
          </w:tcPr>
          <w:p>
            <w:r>
              <w:rPr>
                <w:rFonts w:ascii="Calibri" w:hAnsi="Calibri"/>
                <w:sz w:val="22"/>
              </w:rPr>
              <w:t>Passenger Revenue</w:t>
            </w:r>
          </w:p>
        </w:tc>
        <w:tc>
          <w:tcPr>
            <w:tcW w:type="dxa" w:w="1234"/>
          </w:tcPr>
          <w:p>
            <w:r>
              <w:rPr>
                <w:rFonts w:ascii="Calibri" w:hAnsi="Calibri"/>
                <w:sz w:val="22"/>
              </w:rPr>
              <w:t>$13.17B</w:t>
            </w:r>
          </w:p>
        </w:tc>
        <w:tc>
          <w:tcPr>
            <w:tcW w:type="dxa" w:w="1234"/>
          </w:tcPr>
          <w:p>
            <w:r>
              <w:rPr>
                <w:rFonts w:ascii="Calibri" w:hAnsi="Calibri"/>
                <w:sz w:val="22"/>
              </w:rPr>
              <w:t>$13.84B</w:t>
            </w:r>
          </w:p>
        </w:tc>
        <w:tc>
          <w:tcPr>
            <w:tcW w:type="dxa" w:w="1234"/>
          </w:tcPr>
          <w:p>
            <w:r>
              <w:rPr>
                <w:rFonts w:ascii="Calibri" w:hAnsi="Calibri"/>
                <w:sz w:val="22"/>
              </w:rPr>
              <w:t>$16.12B</w:t>
            </w:r>
          </w:p>
        </w:tc>
        <w:tc>
          <w:tcPr>
            <w:tcW w:type="dxa" w:w="1234"/>
          </w:tcPr>
          <w:p>
            <w:r>
              <w:rPr>
                <w:rFonts w:ascii="Calibri" w:hAnsi="Calibri"/>
                <w:b/>
                <w:color w:val="30A46C"/>
                <w:sz w:val="22"/>
              </w:rPr>
              <w:t>+16.5%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estimates as of July 15, 2026.</w:t>
      </w:r>
    </w:p>
    <w:p>
      <w:pPr>
        <w:pStyle w:val="Heading3"/>
      </w:pPr>
      <w:r>
        <w:rPr>
          <w:rFonts w:ascii="Calibri" w:hAnsi="Calibri"/>
          <w:b/>
          <w:color w:val="3B4259"/>
          <w:sz w:val="24"/>
        </w:rPr>
        <w:t>Table 2 — Beat/Miss History (Last 8 Quarters, Top 2 KPIs: Adj. EPS &amp; Total Revenue)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EPS Reported</w:t>
            </w:r>
          </w:p>
        </w:tc>
        <w:tc>
          <w:tcPr>
            <w:tcW w:type="dxa" w:w="1234"/>
            <w:shd w:val="clear" w:color="auto" w:fill="3B4259"/>
          </w:tcPr>
          <w:p>
            <w:r>
              <w:rPr>
                <w:rFonts w:ascii="Calibri" w:hAnsi="Calibri"/>
                <w:b/>
                <w:color w:val="FFFFFF"/>
                <w:sz w:val="22"/>
              </w:rPr>
              <w:t>EPS Consensus</w:t>
            </w:r>
          </w:p>
        </w:tc>
        <w:tc>
          <w:tcPr>
            <w:tcW w:type="dxa" w:w="1234"/>
            <w:shd w:val="clear" w:color="auto" w:fill="3B4259"/>
          </w:tcPr>
          <w:p>
            <w:r>
              <w:rPr>
                <w:rFonts w:ascii="Calibri" w:hAnsi="Calibri"/>
                <w:b/>
                <w:color w:val="FFFFFF"/>
                <w:sz w:val="22"/>
              </w:rPr>
              <w:t>EPS Surprise</w:t>
            </w:r>
          </w:p>
        </w:tc>
        <w:tc>
          <w:tcPr>
            <w:tcW w:type="dxa" w:w="1234"/>
            <w:shd w:val="clear" w:color="auto" w:fill="3B4259"/>
          </w:tcPr>
          <w:p>
            <w:r>
              <w:rPr>
                <w:rFonts w:ascii="Calibri" w:hAnsi="Calibri"/>
                <w:b/>
                <w:color w:val="FFFFFF"/>
                <w:sz w:val="22"/>
              </w:rPr>
              <w:t>Revenue Reported</w:t>
            </w:r>
          </w:p>
        </w:tc>
        <w:tc>
          <w:tcPr>
            <w:tcW w:type="dxa" w:w="1234"/>
            <w:shd w:val="clear" w:color="auto" w:fill="3B4259"/>
          </w:tcPr>
          <w:p>
            <w:r>
              <w:rPr>
                <w:rFonts w:ascii="Calibri" w:hAnsi="Calibri"/>
                <w:b/>
                <w:color w:val="FFFFFF"/>
                <w:sz w:val="22"/>
              </w:rPr>
              <w:t>Revenue Consensus</w:t>
            </w:r>
          </w:p>
        </w:tc>
        <w:tc>
          <w:tcPr>
            <w:tcW w:type="dxa" w:w="1234"/>
            <w:shd w:val="clear" w:color="auto" w:fill="3B4259"/>
          </w:tcPr>
          <w:p>
            <w:r>
              <w:rPr>
                <w:rFonts w:ascii="Calibri" w:hAnsi="Calibri"/>
                <w:b/>
                <w:color w:val="FFFFFF"/>
                <w:sz w:val="22"/>
              </w:rPr>
              <w:t>Revenue Surprise</w:t>
            </w:r>
          </w:p>
        </w:tc>
      </w:tr>
      <w:tr>
        <w:tc>
          <w:tcPr>
            <w:tcW w:type="dxa" w:w="1234"/>
          </w:tcPr>
          <w:p>
            <w:r>
              <w:rPr>
                <w:rFonts w:ascii="Calibri" w:hAnsi="Calibri"/>
                <w:sz w:val="22"/>
              </w:rPr>
              <w:t>Q2 2024</w:t>
            </w:r>
          </w:p>
        </w:tc>
        <w:tc>
          <w:tcPr>
            <w:tcW w:type="dxa" w:w="1234"/>
          </w:tcPr>
          <w:p>
            <w:r>
              <w:rPr>
                <w:rFonts w:ascii="Calibri" w:hAnsi="Calibri"/>
                <w:sz w:val="22"/>
              </w:rPr>
              <w:t>$4.14</w:t>
            </w:r>
          </w:p>
        </w:tc>
        <w:tc>
          <w:tcPr>
            <w:tcW w:type="dxa" w:w="1234"/>
          </w:tcPr>
          <w:p>
            <w:r>
              <w:rPr>
                <w:rFonts w:ascii="Calibri" w:hAnsi="Calibri"/>
                <w:sz w:val="22"/>
              </w:rPr>
              <w:t>$3.95</w:t>
            </w:r>
          </w:p>
        </w:tc>
        <w:tc>
          <w:tcPr>
            <w:tcW w:type="dxa" w:w="1234"/>
          </w:tcPr>
          <w:p>
            <w:r>
              <w:rPr>
                <w:rFonts w:ascii="Calibri" w:hAnsi="Calibri"/>
                <w:b/>
                <w:color w:val="30A46C"/>
                <w:sz w:val="22"/>
              </w:rPr>
              <w:t>+4.8%</w:t>
            </w:r>
          </w:p>
        </w:tc>
        <w:tc>
          <w:tcPr>
            <w:tcW w:type="dxa" w:w="1234"/>
          </w:tcPr>
          <w:p>
            <w:r>
              <w:rPr>
                <w:rFonts w:ascii="Calibri" w:hAnsi="Calibri"/>
                <w:sz w:val="22"/>
              </w:rPr>
              <w:t>$14.99B</w:t>
            </w:r>
          </w:p>
        </w:tc>
        <w:tc>
          <w:tcPr>
            <w:tcW w:type="dxa" w:w="1234"/>
          </w:tcPr>
          <w:p>
            <w:r>
              <w:rPr>
                <w:rFonts w:ascii="Calibri" w:hAnsi="Calibri"/>
                <w:sz w:val="22"/>
              </w:rPr>
              <w:t>$15.02B</w:t>
            </w:r>
          </w:p>
        </w:tc>
        <w:tc>
          <w:tcPr>
            <w:tcW w:type="dxa" w:w="1234"/>
          </w:tcPr>
          <w:p>
            <w:r>
              <w:rPr>
                <w:rFonts w:ascii="Calibri" w:hAnsi="Calibri"/>
                <w:b/>
                <w:color w:val="E5484D"/>
                <w:sz w:val="22"/>
              </w:rPr>
              <w:t>-0.2%</w:t>
            </w:r>
          </w:p>
        </w:tc>
      </w:tr>
      <w:tr>
        <w:tc>
          <w:tcPr>
            <w:tcW w:type="dxa" w:w="1234"/>
          </w:tcPr>
          <w:p>
            <w:r>
              <w:rPr>
                <w:rFonts w:ascii="Calibri" w:hAnsi="Calibri"/>
                <w:sz w:val="22"/>
              </w:rPr>
              <w:t>Q3 2024</w:t>
            </w:r>
          </w:p>
        </w:tc>
        <w:tc>
          <w:tcPr>
            <w:tcW w:type="dxa" w:w="1234"/>
          </w:tcPr>
          <w:p>
            <w:r>
              <w:rPr>
                <w:rFonts w:ascii="Calibri" w:hAnsi="Calibri"/>
                <w:sz w:val="22"/>
              </w:rPr>
              <w:t>$3.33</w:t>
            </w:r>
          </w:p>
        </w:tc>
        <w:tc>
          <w:tcPr>
            <w:tcW w:type="dxa" w:w="1234"/>
          </w:tcPr>
          <w:p>
            <w:r>
              <w:rPr>
                <w:rFonts w:ascii="Calibri" w:hAnsi="Calibri"/>
                <w:sz w:val="22"/>
              </w:rPr>
              <w:t>$3.17</w:t>
            </w:r>
          </w:p>
        </w:tc>
        <w:tc>
          <w:tcPr>
            <w:tcW w:type="dxa" w:w="1234"/>
          </w:tcPr>
          <w:p>
            <w:r>
              <w:rPr>
                <w:rFonts w:ascii="Calibri" w:hAnsi="Calibri"/>
                <w:b/>
                <w:color w:val="30A46C"/>
                <w:sz w:val="22"/>
              </w:rPr>
              <w:t>+5.1%</w:t>
            </w:r>
          </w:p>
        </w:tc>
        <w:tc>
          <w:tcPr>
            <w:tcW w:type="dxa" w:w="1234"/>
          </w:tcPr>
          <w:p>
            <w:r>
              <w:rPr>
                <w:rFonts w:ascii="Calibri" w:hAnsi="Calibri"/>
                <w:sz w:val="22"/>
              </w:rPr>
              <w:t>$14.84B</w:t>
            </w:r>
          </w:p>
        </w:tc>
        <w:tc>
          <w:tcPr>
            <w:tcW w:type="dxa" w:w="1234"/>
          </w:tcPr>
          <w:p>
            <w:r>
              <w:rPr>
                <w:rFonts w:ascii="Calibri" w:hAnsi="Calibri"/>
                <w:sz w:val="22"/>
              </w:rPr>
              <w:t>$14.74B</w:t>
            </w:r>
          </w:p>
        </w:tc>
        <w:tc>
          <w:tcPr>
            <w:tcW w:type="dxa" w:w="1234"/>
          </w:tcPr>
          <w:p>
            <w:r>
              <w:rPr>
                <w:rFonts w:ascii="Calibri" w:hAnsi="Calibri"/>
                <w:b/>
                <w:color w:val="30A46C"/>
                <w:sz w:val="22"/>
              </w:rPr>
              <w:t>+0.7%</w:t>
            </w:r>
          </w:p>
        </w:tc>
      </w:tr>
      <w:tr>
        <w:tc>
          <w:tcPr>
            <w:tcW w:type="dxa" w:w="1234"/>
          </w:tcPr>
          <w:p>
            <w:r>
              <w:rPr>
                <w:rFonts w:ascii="Calibri" w:hAnsi="Calibri"/>
                <w:sz w:val="22"/>
              </w:rPr>
              <w:t>Q4 2024</w:t>
            </w:r>
          </w:p>
        </w:tc>
        <w:tc>
          <w:tcPr>
            <w:tcW w:type="dxa" w:w="1234"/>
          </w:tcPr>
          <w:p>
            <w:r>
              <w:rPr>
                <w:rFonts w:ascii="Calibri" w:hAnsi="Calibri"/>
                <w:sz w:val="22"/>
              </w:rPr>
              <w:t>$3.26</w:t>
            </w:r>
          </w:p>
        </w:tc>
        <w:tc>
          <w:tcPr>
            <w:tcW w:type="dxa" w:w="1234"/>
          </w:tcPr>
          <w:p>
            <w:r>
              <w:rPr>
                <w:rFonts w:ascii="Calibri" w:hAnsi="Calibri"/>
                <w:sz w:val="22"/>
              </w:rPr>
              <w:t>$3.06</w:t>
            </w:r>
          </w:p>
        </w:tc>
        <w:tc>
          <w:tcPr>
            <w:tcW w:type="dxa" w:w="1234"/>
          </w:tcPr>
          <w:p>
            <w:r>
              <w:rPr>
                <w:rFonts w:ascii="Calibri" w:hAnsi="Calibri"/>
                <w:b/>
                <w:color w:val="30A46C"/>
                <w:sz w:val="22"/>
              </w:rPr>
              <w:t>+6.5%</w:t>
            </w:r>
          </w:p>
        </w:tc>
        <w:tc>
          <w:tcPr>
            <w:tcW w:type="dxa" w:w="1234"/>
          </w:tcPr>
          <w:p>
            <w:r>
              <w:rPr>
                <w:rFonts w:ascii="Calibri" w:hAnsi="Calibri"/>
                <w:sz w:val="22"/>
              </w:rPr>
              <w:t>$14.70B</w:t>
            </w:r>
          </w:p>
        </w:tc>
        <w:tc>
          <w:tcPr>
            <w:tcW w:type="dxa" w:w="1234"/>
          </w:tcPr>
          <w:p>
            <w:r>
              <w:rPr>
                <w:rFonts w:ascii="Calibri" w:hAnsi="Calibri"/>
                <w:sz w:val="22"/>
              </w:rPr>
              <w:t>$14.39B</w:t>
            </w:r>
          </w:p>
        </w:tc>
        <w:tc>
          <w:tcPr>
            <w:tcW w:type="dxa" w:w="1234"/>
          </w:tcPr>
          <w:p>
            <w:r>
              <w:rPr>
                <w:rFonts w:ascii="Calibri" w:hAnsi="Calibri"/>
                <w:b/>
                <w:color w:val="30A46C"/>
                <w:sz w:val="22"/>
              </w:rPr>
              <w:t>+2.1%</w:t>
            </w:r>
          </w:p>
        </w:tc>
      </w:tr>
      <w:tr>
        <w:tc>
          <w:tcPr>
            <w:tcW w:type="dxa" w:w="1234"/>
          </w:tcPr>
          <w:p>
            <w:r>
              <w:rPr>
                <w:rFonts w:ascii="Calibri" w:hAnsi="Calibri"/>
                <w:sz w:val="22"/>
              </w:rPr>
              <w:t>Q1 2025</w:t>
            </w:r>
          </w:p>
        </w:tc>
        <w:tc>
          <w:tcPr>
            <w:tcW w:type="dxa" w:w="1234"/>
          </w:tcPr>
          <w:p>
            <w:r>
              <w:rPr>
                <w:rFonts w:ascii="Calibri" w:hAnsi="Calibri"/>
                <w:sz w:val="22"/>
              </w:rPr>
              <w:t>$0.91</w:t>
            </w:r>
          </w:p>
        </w:tc>
        <w:tc>
          <w:tcPr>
            <w:tcW w:type="dxa" w:w="1234"/>
          </w:tcPr>
          <w:p>
            <w:r>
              <w:rPr>
                <w:rFonts w:ascii="Calibri" w:hAnsi="Calibri"/>
                <w:sz w:val="22"/>
              </w:rPr>
              <w:t>$0.66</w:t>
            </w:r>
          </w:p>
        </w:tc>
        <w:tc>
          <w:tcPr>
            <w:tcW w:type="dxa" w:w="1234"/>
          </w:tcPr>
          <w:p>
            <w:r>
              <w:rPr>
                <w:rFonts w:ascii="Calibri" w:hAnsi="Calibri"/>
                <w:b/>
                <w:color w:val="30A46C"/>
                <w:sz w:val="22"/>
              </w:rPr>
              <w:t>+38.0%</w:t>
            </w:r>
          </w:p>
        </w:tc>
        <w:tc>
          <w:tcPr>
            <w:tcW w:type="dxa" w:w="1234"/>
          </w:tcPr>
          <w:p>
            <w:r>
              <w:rPr>
                <w:rFonts w:ascii="Calibri" w:hAnsi="Calibri"/>
                <w:sz w:val="22"/>
              </w:rPr>
              <w:t>$13.21B</w:t>
            </w:r>
          </w:p>
        </w:tc>
        <w:tc>
          <w:tcPr>
            <w:tcW w:type="dxa" w:w="1234"/>
          </w:tcPr>
          <w:p>
            <w:r>
              <w:rPr>
                <w:rFonts w:ascii="Calibri" w:hAnsi="Calibri"/>
                <w:sz w:val="22"/>
              </w:rPr>
              <w:t>$13.13B</w:t>
            </w:r>
          </w:p>
        </w:tc>
        <w:tc>
          <w:tcPr>
            <w:tcW w:type="dxa" w:w="1234"/>
          </w:tcPr>
          <w:p>
            <w:r>
              <w:rPr>
                <w:rFonts w:ascii="Calibri" w:hAnsi="Calibri"/>
                <w:b/>
                <w:color w:val="30A46C"/>
                <w:sz w:val="22"/>
              </w:rPr>
              <w:t>+0.6%</w:t>
            </w:r>
          </w:p>
        </w:tc>
      </w:tr>
      <w:tr>
        <w:tc>
          <w:tcPr>
            <w:tcW w:type="dxa" w:w="1234"/>
          </w:tcPr>
          <w:p>
            <w:r>
              <w:rPr>
                <w:rFonts w:ascii="Calibri" w:hAnsi="Calibri"/>
                <w:sz w:val="22"/>
              </w:rPr>
              <w:t>Q2 2025</w:t>
            </w:r>
          </w:p>
        </w:tc>
        <w:tc>
          <w:tcPr>
            <w:tcW w:type="dxa" w:w="1234"/>
          </w:tcPr>
          <w:p>
            <w:r>
              <w:rPr>
                <w:rFonts w:ascii="Calibri" w:hAnsi="Calibri"/>
                <w:sz w:val="22"/>
              </w:rPr>
              <w:t>$3.87</w:t>
            </w:r>
          </w:p>
        </w:tc>
        <w:tc>
          <w:tcPr>
            <w:tcW w:type="dxa" w:w="1234"/>
          </w:tcPr>
          <w:p>
            <w:r>
              <w:rPr>
                <w:rFonts w:ascii="Calibri" w:hAnsi="Calibri"/>
                <w:sz w:val="22"/>
              </w:rPr>
              <w:t>$3.84</w:t>
            </w:r>
          </w:p>
        </w:tc>
        <w:tc>
          <w:tcPr>
            <w:tcW w:type="dxa" w:w="1234"/>
          </w:tcPr>
          <w:p>
            <w:r>
              <w:rPr>
                <w:rFonts w:ascii="Calibri" w:hAnsi="Calibri"/>
                <w:b/>
                <w:color w:val="30A46C"/>
                <w:sz w:val="22"/>
              </w:rPr>
              <w:t>+0.8%</w:t>
            </w:r>
          </w:p>
        </w:tc>
        <w:tc>
          <w:tcPr>
            <w:tcW w:type="dxa" w:w="1234"/>
          </w:tcPr>
          <w:p>
            <w:r>
              <w:rPr>
                <w:rFonts w:ascii="Calibri" w:hAnsi="Calibri"/>
                <w:sz w:val="22"/>
              </w:rPr>
              <w:t>$15.24B</w:t>
            </w:r>
          </w:p>
        </w:tc>
        <w:tc>
          <w:tcPr>
            <w:tcW w:type="dxa" w:w="1234"/>
          </w:tcPr>
          <w:p>
            <w:r>
              <w:rPr>
                <w:rFonts w:ascii="Calibri" w:hAnsi="Calibri"/>
                <w:sz w:val="22"/>
              </w:rPr>
              <w:t>$15.37B</w:t>
            </w:r>
          </w:p>
        </w:tc>
        <w:tc>
          <w:tcPr>
            <w:tcW w:type="dxa" w:w="1234"/>
          </w:tcPr>
          <w:p>
            <w:r>
              <w:rPr>
                <w:rFonts w:ascii="Calibri" w:hAnsi="Calibri"/>
                <w:b/>
                <w:color w:val="E5484D"/>
                <w:sz w:val="22"/>
              </w:rPr>
              <w:t>-0.9%</w:t>
            </w:r>
          </w:p>
        </w:tc>
      </w:tr>
      <w:tr>
        <w:tc>
          <w:tcPr>
            <w:tcW w:type="dxa" w:w="1234"/>
          </w:tcPr>
          <w:p>
            <w:r>
              <w:rPr>
                <w:rFonts w:ascii="Calibri" w:hAnsi="Calibri"/>
                <w:sz w:val="22"/>
              </w:rPr>
              <w:t>Q3 2025</w:t>
            </w:r>
          </w:p>
        </w:tc>
        <w:tc>
          <w:tcPr>
            <w:tcW w:type="dxa" w:w="1234"/>
          </w:tcPr>
          <w:p>
            <w:r>
              <w:rPr>
                <w:rFonts w:ascii="Calibri" w:hAnsi="Calibri"/>
                <w:sz w:val="22"/>
              </w:rPr>
              <w:t>$2.78</w:t>
            </w:r>
          </w:p>
        </w:tc>
        <w:tc>
          <w:tcPr>
            <w:tcW w:type="dxa" w:w="1234"/>
          </w:tcPr>
          <w:p>
            <w:r>
              <w:rPr>
                <w:rFonts w:ascii="Calibri" w:hAnsi="Calibri"/>
                <w:sz w:val="22"/>
              </w:rPr>
              <w:t>$2.66</w:t>
            </w:r>
          </w:p>
        </w:tc>
        <w:tc>
          <w:tcPr>
            <w:tcW w:type="dxa" w:w="1234"/>
          </w:tcPr>
          <w:p>
            <w:r>
              <w:rPr>
                <w:rFonts w:ascii="Calibri" w:hAnsi="Calibri"/>
                <w:b/>
                <w:color w:val="30A46C"/>
                <w:sz w:val="22"/>
              </w:rPr>
              <w:t>+4.5%</w:t>
            </w:r>
          </w:p>
        </w:tc>
        <w:tc>
          <w:tcPr>
            <w:tcW w:type="dxa" w:w="1234"/>
          </w:tcPr>
          <w:p>
            <w:r>
              <w:rPr>
                <w:rFonts w:ascii="Calibri" w:hAnsi="Calibri"/>
                <w:sz w:val="22"/>
              </w:rPr>
              <w:t>$15.23B</w:t>
            </w:r>
          </w:p>
        </w:tc>
        <w:tc>
          <w:tcPr>
            <w:tcW w:type="dxa" w:w="1234"/>
          </w:tcPr>
          <w:p>
            <w:r>
              <w:rPr>
                <w:rFonts w:ascii="Calibri" w:hAnsi="Calibri"/>
                <w:sz w:val="22"/>
              </w:rPr>
              <w:t>$15.30B</w:t>
            </w:r>
          </w:p>
        </w:tc>
        <w:tc>
          <w:tcPr>
            <w:tcW w:type="dxa" w:w="1234"/>
          </w:tcPr>
          <w:p>
            <w:r>
              <w:rPr>
                <w:rFonts w:ascii="Calibri" w:hAnsi="Calibri"/>
                <w:b/>
                <w:color w:val="E5484D"/>
                <w:sz w:val="22"/>
              </w:rPr>
              <w:t>-0.5%</w:t>
            </w:r>
          </w:p>
        </w:tc>
      </w:tr>
      <w:tr>
        <w:tc>
          <w:tcPr>
            <w:tcW w:type="dxa" w:w="1234"/>
          </w:tcPr>
          <w:p>
            <w:r>
              <w:rPr>
                <w:rFonts w:ascii="Calibri" w:hAnsi="Calibri"/>
                <w:sz w:val="22"/>
              </w:rPr>
              <w:t>Q4 2025</w:t>
            </w:r>
          </w:p>
        </w:tc>
        <w:tc>
          <w:tcPr>
            <w:tcW w:type="dxa" w:w="1234"/>
          </w:tcPr>
          <w:p>
            <w:r>
              <w:rPr>
                <w:rFonts w:ascii="Calibri" w:hAnsi="Calibri"/>
                <w:sz w:val="22"/>
              </w:rPr>
              <w:t>$3.10</w:t>
            </w:r>
          </w:p>
        </w:tc>
        <w:tc>
          <w:tcPr>
            <w:tcW w:type="dxa" w:w="1234"/>
          </w:tcPr>
          <w:p>
            <w:r>
              <w:rPr>
                <w:rFonts w:ascii="Calibri" w:hAnsi="Calibri"/>
                <w:sz w:val="22"/>
              </w:rPr>
              <w:t>$2.99</w:t>
            </w:r>
          </w:p>
        </w:tc>
        <w:tc>
          <w:tcPr>
            <w:tcW w:type="dxa" w:w="1234"/>
          </w:tcPr>
          <w:p>
            <w:r>
              <w:rPr>
                <w:rFonts w:ascii="Calibri" w:hAnsi="Calibri"/>
                <w:b/>
                <w:color w:val="30A46C"/>
                <w:sz w:val="22"/>
              </w:rPr>
              <w:t>+3.7%</w:t>
            </w:r>
          </w:p>
        </w:tc>
        <w:tc>
          <w:tcPr>
            <w:tcW w:type="dxa" w:w="1234"/>
          </w:tcPr>
          <w:p>
            <w:r>
              <w:rPr>
                <w:rFonts w:ascii="Calibri" w:hAnsi="Calibri"/>
                <w:sz w:val="22"/>
              </w:rPr>
              <w:t>$15.40B</w:t>
            </w:r>
          </w:p>
        </w:tc>
        <w:tc>
          <w:tcPr>
            <w:tcW w:type="dxa" w:w="1234"/>
          </w:tcPr>
          <w:p>
            <w:r>
              <w:rPr>
                <w:rFonts w:ascii="Calibri" w:hAnsi="Calibri"/>
                <w:sz w:val="22"/>
              </w:rPr>
              <w:t>$15.38B</w:t>
            </w:r>
          </w:p>
        </w:tc>
        <w:tc>
          <w:tcPr>
            <w:tcW w:type="dxa" w:w="1234"/>
          </w:tcPr>
          <w:p>
            <w:r>
              <w:rPr>
                <w:rFonts w:ascii="Calibri" w:hAnsi="Calibri"/>
                <w:b/>
                <w:color w:val="30A46C"/>
                <w:sz w:val="22"/>
              </w:rPr>
              <w:t>+0.1%</w:t>
            </w:r>
          </w:p>
        </w:tc>
      </w:tr>
      <w:tr>
        <w:tc>
          <w:tcPr>
            <w:tcW w:type="dxa" w:w="1234"/>
          </w:tcPr>
          <w:p>
            <w:r>
              <w:rPr>
                <w:rFonts w:ascii="Calibri" w:hAnsi="Calibri"/>
                <w:sz w:val="22"/>
              </w:rPr>
              <w:t>Q1 2026</w:t>
            </w:r>
          </w:p>
        </w:tc>
        <w:tc>
          <w:tcPr>
            <w:tcW w:type="dxa" w:w="1234"/>
          </w:tcPr>
          <w:p>
            <w:r>
              <w:rPr>
                <w:rFonts w:ascii="Calibri" w:hAnsi="Calibri"/>
                <w:sz w:val="22"/>
              </w:rPr>
              <w:t>$1.19</w:t>
            </w:r>
          </w:p>
        </w:tc>
        <w:tc>
          <w:tcPr>
            <w:tcW w:type="dxa" w:w="1234"/>
          </w:tcPr>
          <w:p>
            <w:r>
              <w:rPr>
                <w:rFonts w:ascii="Calibri" w:hAnsi="Calibri"/>
                <w:sz w:val="22"/>
              </w:rPr>
              <w:t>$1.10</w:t>
            </w:r>
          </w:p>
        </w:tc>
        <w:tc>
          <w:tcPr>
            <w:tcW w:type="dxa" w:w="1234"/>
          </w:tcPr>
          <w:p>
            <w:r>
              <w:rPr>
                <w:rFonts w:ascii="Calibri" w:hAnsi="Calibri"/>
                <w:b/>
                <w:color w:val="30A46C"/>
                <w:sz w:val="22"/>
              </w:rPr>
              <w:t>+8.2%</w:t>
            </w:r>
          </w:p>
        </w:tc>
        <w:tc>
          <w:tcPr>
            <w:tcW w:type="dxa" w:w="1234"/>
          </w:tcPr>
          <w:p>
            <w:r>
              <w:rPr>
                <w:rFonts w:ascii="Calibri" w:hAnsi="Calibri"/>
                <w:sz w:val="22"/>
              </w:rPr>
              <w:t>$14.61B</w:t>
            </w:r>
          </w:p>
        </w:tc>
        <w:tc>
          <w:tcPr>
            <w:tcW w:type="dxa" w:w="1234"/>
          </w:tcPr>
          <w:p>
            <w:r>
              <w:rPr>
                <w:rFonts w:ascii="Calibri" w:hAnsi="Calibri"/>
                <w:sz w:val="22"/>
              </w:rPr>
              <w:t>$14.44B</w:t>
            </w:r>
          </w:p>
        </w:tc>
        <w:tc>
          <w:tcPr>
            <w:tcW w:type="dxa" w:w="1234"/>
          </w:tcPr>
          <w:p>
            <w:r>
              <w:rPr>
                <w:rFonts w:ascii="Calibri" w:hAnsi="Calibri"/>
                <w:b/>
                <w:color w:val="30A46C"/>
                <w:sz w:val="22"/>
              </w:rPr>
              <w:t>+1.2%</w:t>
            </w:r>
          </w:p>
        </w:tc>
      </w:tr>
    </w:tbl>
    <w:p>
      <w:r>
        <w:rPr>
          <w:rFonts w:ascii="Calibri" w:hAnsi="Calibri"/>
          <w:b/>
          <w:color w:val="525866"/>
          <w:sz w:val="22"/>
        </w:rPr>
        <w:t xml:space="preserve">Pattern: </w:t>
      </w:r>
      <w:r>
        <w:rPr>
          <w:rFonts w:ascii="Calibri" w:hAnsi="Calibri"/>
          <w:color w:val="525866"/>
          <w:sz w:val="22"/>
        </w:rPr>
        <w:t>UAL has beaten EPS consensus in all 8 of the last 8 quarters, with an average surprise of ~8.5%. Revenue beats are less consistent (5 of 8), with misses concentrated in peak-demand quarters where the Street tends to over-estimate. The consistent EPS beat pattern reflects management's conservative guidance philosophy and strong cost discipline.</w:t>
      </w:r>
      <w:r>
        <w:rPr>
          <w:rFonts w:ascii="Calibri" w:hAnsi="Calibri"/>
          <w:i/>
          <w:color w:val="525866"/>
          <w:sz w:val="22"/>
        </w:rPr>
        <w:t xml:space="preserv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Q1 2026 earnings call (April 21), but the </w:t>
      </w:r>
      <w:r>
        <w:rPr>
          <w:rFonts w:ascii="Calibri" w:hAnsi="Calibri"/>
          <w:b/>
          <w:color w:val="525866"/>
          <w:sz w:val="22"/>
        </w:rPr>
        <w:t>tone has shifted materially more constructive</w:t>
      </w:r>
      <w:r>
        <w:rPr>
          <w:rFonts w:ascii="Calibri" w:hAnsi="Calibri"/>
          <w:color w:val="525866"/>
          <w:sz w:val="22"/>
        </w:rPr>
        <w:t xml:space="preserve"> as oil prices declined from the ~$4.30/gallon guidance assumption toward ~$4.19 actual in Q2, pulling forward the fuel recovery timeline; management's framework of landing in the "upper half" of the $7–$11 FY range if fuel declines has been validated by the Street, with consensus now at $10.70.</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EPS</w:t>
            </w:r>
          </w:p>
        </w:tc>
        <w:tc>
          <w:tcPr>
            <w:tcW w:type="dxa" w:w="1728"/>
          </w:tcPr>
          <w:p>
            <w:r>
              <w:rPr>
                <w:rFonts w:ascii="Calibri" w:hAnsi="Calibri"/>
                <w:sz w:val="22"/>
              </w:rPr>
              <w:t>$1.00–$2.00</w:t>
            </w:r>
          </w:p>
        </w:tc>
        <w:tc>
          <w:tcPr>
            <w:tcW w:type="dxa" w:w="1728"/>
          </w:tcPr>
          <w:p>
            <w:r>
              <w:rPr>
                <w:rFonts w:ascii="Calibri" w:hAnsi="Calibri"/>
                <w:sz w:val="22"/>
              </w:rPr>
              <w:t>Unchanged</w:t>
            </w:r>
          </w:p>
        </w:tc>
        <w:tc>
          <w:tcPr>
            <w:tcW w:type="dxa" w:w="1728"/>
          </w:tcPr>
          <w:p>
            <w:r>
              <w:rPr>
                <w:rFonts w:ascii="Calibri" w:hAnsi="Calibri"/>
                <w:sz w:val="22"/>
              </w:rPr>
              <w:t>~$1.90</w:t>
            </w:r>
          </w:p>
        </w:tc>
        <w:tc>
          <w:tcPr>
            <w:tcW w:type="dxa" w:w="1728"/>
          </w:tcPr>
          <w:p>
            <w:r>
              <w:rPr>
                <w:rFonts w:ascii="Calibri" w:hAnsi="Calibri"/>
                <w:sz w:val="22"/>
              </w:rPr>
              <w:t>Wide range due to fuel uncertainty; consensus near top of range, implying Street pricing in favorable fuel outcome</w:t>
            </w:r>
          </w:p>
        </w:tc>
      </w:tr>
      <w:tr>
        <w:tc>
          <w:tcPr>
            <w:tcW w:type="dxa" w:w="1728"/>
          </w:tcPr>
          <w:p>
            <w:r>
              <w:rPr>
                <w:rFonts w:ascii="Calibri" w:hAnsi="Calibri"/>
                <w:sz w:val="22"/>
              </w:rPr>
              <w:t>FY 2026 Adj. EPS</w:t>
            </w:r>
          </w:p>
        </w:tc>
        <w:tc>
          <w:tcPr>
            <w:tcW w:type="dxa" w:w="1728"/>
          </w:tcPr>
          <w:p>
            <w:r>
              <w:rPr>
                <w:rFonts w:ascii="Calibri" w:hAnsi="Calibri"/>
                <w:sz w:val="22"/>
              </w:rPr>
              <w:t>$7.00–$11.00</w:t>
            </w:r>
          </w:p>
        </w:tc>
        <w:tc>
          <w:tcPr>
            <w:tcW w:type="dxa" w:w="1728"/>
          </w:tcPr>
          <w:p>
            <w:r>
              <w:rPr>
                <w:rFonts w:ascii="Calibri" w:hAnsi="Calibri"/>
                <w:sz w:val="22"/>
              </w:rPr>
              <w:t>Unchanged</w:t>
            </w:r>
          </w:p>
        </w:tc>
        <w:tc>
          <w:tcPr>
            <w:tcW w:type="dxa" w:w="1728"/>
          </w:tcPr>
          <w:p>
            <w:r>
              <w:rPr>
                <w:rFonts w:ascii="Calibri" w:hAnsi="Calibri"/>
                <w:sz w:val="22"/>
              </w:rPr>
              <w:t>~$10.70</w:t>
            </w:r>
          </w:p>
        </w:tc>
        <w:tc>
          <w:tcPr>
            <w:tcW w:type="dxa" w:w="1728"/>
          </w:tcPr>
          <w:p>
            <w:r>
              <w:rPr>
                <w:rFonts w:ascii="Calibri" w:hAnsi="Calibri"/>
                <w:sz w:val="22"/>
              </w:rPr>
              <w:t>Consensus in upper half, consistent with mgmt's "upper half if fuel declines" framework; oil prices have cooperated</w:t>
            </w:r>
          </w:p>
        </w:tc>
      </w:tr>
      <w:tr>
        <w:tc>
          <w:tcPr>
            <w:tcW w:type="dxa" w:w="1728"/>
          </w:tcPr>
          <w:p>
            <w:r>
              <w:rPr>
                <w:rFonts w:ascii="Calibri" w:hAnsi="Calibri"/>
                <w:sz w:val="22"/>
              </w:rPr>
              <w:t>Q2 2026 RASM</w:t>
            </w:r>
          </w:p>
        </w:tc>
        <w:tc>
          <w:tcPr>
            <w:tcW w:type="dxa" w:w="1728"/>
          </w:tcPr>
          <w:p>
            <w:r>
              <w:rPr>
                <w:rFonts w:ascii="Calibri" w:hAnsi="Calibri"/>
                <w:sz w:val="22"/>
              </w:rPr>
              <w:t>Double-digit YoY increase</w:t>
            </w:r>
          </w:p>
        </w:tc>
        <w:tc>
          <w:tcPr>
            <w:tcW w:type="dxa" w:w="1728"/>
          </w:tcPr>
          <w:p>
            <w:r>
              <w:rPr>
                <w:rFonts w:ascii="Calibri" w:hAnsi="Calibri"/>
                <w:sz w:val="22"/>
              </w:rPr>
              <w:t>Unchanged</w:t>
            </w:r>
          </w:p>
        </w:tc>
        <w:tc>
          <w:tcPr>
            <w:tcW w:type="dxa" w:w="1728"/>
          </w:tcPr>
          <w:p>
            <w:r>
              <w:rPr>
                <w:rFonts w:ascii="Calibri" w:hAnsi="Calibri"/>
                <w:sz w:val="22"/>
              </w:rPr>
              <w:t>+12.5% YoY</w:t>
            </w:r>
          </w:p>
        </w:tc>
        <w:tc>
          <w:tcPr>
            <w:tcW w:type="dxa" w:w="1728"/>
          </w:tcPr>
          <w:p>
            <w:r>
              <w:rPr>
                <w:rFonts w:ascii="Calibri" w:hAnsi="Calibri"/>
                <w:sz w:val="22"/>
              </w:rPr>
              <w:t>Consensus implies ~12.5% growth; DAL's +12.4% unit revenue in Q2 provides strong validation</w:t>
            </w:r>
          </w:p>
        </w:tc>
      </w:tr>
      <w:tr>
        <w:tc>
          <w:tcPr>
            <w:tcW w:type="dxa" w:w="1728"/>
          </w:tcPr>
          <w:p>
            <w:r>
              <w:rPr>
                <w:rFonts w:ascii="Calibri" w:hAnsi="Calibri"/>
                <w:sz w:val="22"/>
              </w:rPr>
              <w:t>FY 2026 RASM</w:t>
            </w:r>
          </w:p>
        </w:tc>
        <w:tc>
          <w:tcPr>
            <w:tcW w:type="dxa" w:w="1728"/>
          </w:tcPr>
          <w:p>
            <w:r>
              <w:rPr>
                <w:rFonts w:ascii="Calibri" w:hAnsi="Calibri"/>
                <w:sz w:val="22"/>
              </w:rPr>
              <w:t>Double-digit YoY increase</w:t>
            </w:r>
          </w:p>
        </w:tc>
        <w:tc>
          <w:tcPr>
            <w:tcW w:type="dxa" w:w="1728"/>
          </w:tcPr>
          <w:p>
            <w:r>
              <w:rPr>
                <w:rFonts w:ascii="Calibri" w:hAnsi="Calibri"/>
                <w:sz w:val="22"/>
              </w:rPr>
              <w:t>Unchanged</w:t>
            </w:r>
          </w:p>
        </w:tc>
        <w:tc>
          <w:tcPr>
            <w:tcW w:type="dxa" w:w="1728"/>
          </w:tcPr>
          <w:p>
            <w:r>
              <w:rPr>
                <w:rFonts w:ascii="Calibri" w:hAnsi="Calibri"/>
                <w:sz w:val="22"/>
              </w:rPr>
              <w:t>~+12% YoY</w:t>
            </w:r>
          </w:p>
        </w:tc>
        <w:tc>
          <w:tcPr>
            <w:tcW w:type="dxa" w:w="1728"/>
          </w:tcPr>
          <w:p>
            <w:r>
              <w:rPr>
                <w:rFonts w:ascii="Calibri" w:hAnsi="Calibri"/>
                <w:sz w:val="22"/>
              </w:rPr>
              <w:t>Tracking guidance; fare increases appear to be sticking across the industry</w:t>
            </w:r>
          </w:p>
        </w:tc>
      </w:tr>
      <w:tr>
        <w:tc>
          <w:tcPr>
            <w:tcW w:type="dxa" w:w="1728"/>
          </w:tcPr>
          <w:p>
            <w:r>
              <w:rPr>
                <w:rFonts w:ascii="Calibri" w:hAnsi="Calibri"/>
                <w:sz w:val="22"/>
              </w:rPr>
              <w:t>Fuel Recapture Cadence</w:t>
            </w:r>
          </w:p>
        </w:tc>
        <w:tc>
          <w:tcPr>
            <w:tcW w:type="dxa" w:w="1728"/>
          </w:tcPr>
          <w:p>
            <w:r>
              <w:rPr>
                <w:rFonts w:ascii="Calibri" w:hAnsi="Calibri"/>
                <w:sz w:val="22"/>
              </w:rPr>
              <w:t>40–50% in Q2; 70–80% in Q3; 85–100% in Q4</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Oil price decline since guidance may pull forward recovery timeline; DAL's Q2 fuel at $3.93 vs. UAL's $4.30 assumption is a positive signal</w:t>
            </w:r>
          </w:p>
        </w:tc>
      </w:tr>
      <w:tr>
        <w:tc>
          <w:tcPr>
            <w:tcW w:type="dxa" w:w="1728"/>
          </w:tcPr>
          <w:p>
            <w:r>
              <w:rPr>
                <w:rFonts w:ascii="Calibri" w:hAnsi="Calibri"/>
                <w:sz w:val="22"/>
              </w:rPr>
              <w:t>H2 2026 Capacity</w:t>
            </w:r>
          </w:p>
        </w:tc>
        <w:tc>
          <w:tcPr>
            <w:tcW w:type="dxa" w:w="1728"/>
          </w:tcPr>
          <w:p>
            <w:r>
              <w:rPr>
                <w:rFonts w:ascii="Calibri" w:hAnsi="Calibri"/>
                <w:sz w:val="22"/>
              </w:rPr>
              <w:t>Flat to +2% YoY in Q3/Q4</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~5 points below original plan; removing off-peak/marginal flying to protect yield recovery</w:t>
            </w:r>
          </w:p>
        </w:tc>
      </w:tr>
      <w:tr>
        <w:tc>
          <w:tcPr>
            <w:tcW w:type="dxa" w:w="1728"/>
          </w:tcPr>
          <w:p>
            <w:r>
              <w:rPr>
                <w:rFonts w:ascii="Calibri" w:hAnsi="Calibri"/>
                <w:sz w:val="22"/>
              </w:rPr>
              <w:t>FY 2026 FCF</w:t>
            </w:r>
          </w:p>
        </w:tc>
        <w:tc>
          <w:tcPr>
            <w:tcW w:type="dxa" w:w="1728"/>
          </w:tcPr>
          <w:p>
            <w:r>
              <w:rPr>
                <w:rFonts w:ascii="Calibri" w:hAnsi="Calibri"/>
                <w:sz w:val="22"/>
              </w:rPr>
              <w:t>~$2.7B</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Stable near-term; management targeting investment-grade metrics before capital return</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meaningfully higher since Q1 earnings — Q2 EPS consensus rose from ~$1.50 (implied from the wide range) to ~$1.90 (+27%), and FY 2026 consensus rose from ~$9.00 to ~$10.70 (+19%) — driven by oil price declines and sustained demand strength; the </w:t>
      </w:r>
      <w:r>
        <w:rPr>
          <w:rFonts w:ascii="Calibri" w:hAnsi="Calibri"/>
          <w:b/>
          <w:color w:val="525866"/>
          <w:sz w:val="22"/>
        </w:rPr>
        <w:t>risk is that the bar has risen significantly</w:t>
      </w:r>
      <w:r>
        <w:rPr>
          <w:rFonts w:ascii="Calibri" w:hAnsi="Calibri"/>
          <w:color w:val="525866"/>
          <w:sz w:val="22"/>
        </w:rPr>
        <w:t xml:space="preserve"> and any fuel re-escalation or demand softness in Q3 guidance could disappoint.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w:t>
            </w:r>
          </w:p>
        </w:tc>
        <w:tc>
          <w:tcPr>
            <w:tcW w:type="dxa" w:w="1080"/>
            <w:shd w:val="clear" w:color="auto" w:fill="3B4259"/>
          </w:tcPr>
          <w:p>
            <w:r>
              <w:rPr>
                <w:rFonts w:ascii="Calibri" w:hAnsi="Calibri"/>
                <w:b/>
                <w:color w:val="FFFFFF"/>
                <w:sz w:val="22"/>
              </w:rPr>
              <w:t>Period</w:t>
            </w:r>
          </w:p>
        </w:tc>
        <w:tc>
          <w:tcPr>
            <w:tcW w:type="dxa" w:w="1080"/>
            <w:shd w:val="clear" w:color="auto" w:fill="3B4259"/>
          </w:tcPr>
          <w:p>
            <w:r>
              <w:rPr>
                <w:rFonts w:ascii="Calibri" w:hAnsi="Calibri"/>
                <w:b/>
                <w:color w:val="FFFFFF"/>
                <w:sz w:val="22"/>
              </w:rPr>
              <w:t>Est. ~5 Days Post Q1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 Delta</w:t>
            </w:r>
          </w:p>
        </w:tc>
        <w:tc>
          <w:tcPr>
            <w:tcW w:type="dxa" w:w="1080"/>
            <w:shd w:val="clear" w:color="auto" w:fill="3B4259"/>
          </w:tcPr>
          <w:p>
            <w:r>
              <w:rPr>
                <w:rFonts w:ascii="Calibri" w:hAnsi="Calibri"/>
                <w:b/>
                <w:color w:val="FFFFFF"/>
                <w:sz w:val="22"/>
              </w:rPr>
              <w:t>Initial Guidance</w:t>
            </w:r>
          </w:p>
        </w:tc>
        <w:tc>
          <w:tcPr>
            <w:tcW w:type="dxa" w:w="1080"/>
            <w:shd w:val="clear" w:color="auto" w:fill="3B4259"/>
          </w:tcPr>
          <w:p>
            <w:r>
              <w:rPr>
                <w:rFonts w:ascii="Calibri" w:hAnsi="Calibri"/>
                <w:b/>
                <w:color w:val="FFFFFF"/>
                <w:sz w:val="22"/>
              </w:rPr>
              <w:t>Guidance Delta</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Adj. EPS</w:t>
            </w:r>
          </w:p>
        </w:tc>
        <w:tc>
          <w:tcPr>
            <w:tcW w:type="dxa" w:w="1080"/>
          </w:tcPr>
          <w:p>
            <w:r>
              <w:rPr>
                <w:rFonts w:ascii="Calibri" w:hAnsi="Calibri"/>
                <w:sz w:val="22"/>
              </w:rPr>
              <w:t>Q2 2026</w:t>
            </w:r>
          </w:p>
        </w:tc>
        <w:tc>
          <w:tcPr>
            <w:tcW w:type="dxa" w:w="1080"/>
          </w:tcPr>
          <w:p>
            <w:r>
              <w:rPr>
                <w:rFonts w:ascii="Calibri" w:hAnsi="Calibri"/>
                <w:sz w:val="22"/>
              </w:rPr>
              <w:t>~$1.50</w:t>
            </w:r>
          </w:p>
        </w:tc>
        <w:tc>
          <w:tcPr>
            <w:tcW w:type="dxa" w:w="1080"/>
          </w:tcPr>
          <w:p>
            <w:r>
              <w:rPr>
                <w:rFonts w:ascii="Calibri" w:hAnsi="Calibri"/>
                <w:sz w:val="22"/>
              </w:rPr>
              <w:t>$1.90</w:t>
            </w:r>
          </w:p>
        </w:tc>
        <w:tc>
          <w:tcPr>
            <w:tcW w:type="dxa" w:w="1080"/>
          </w:tcPr>
          <w:p>
            <w:r>
              <w:rPr>
                <w:rFonts w:ascii="Calibri" w:hAnsi="Calibri"/>
                <w:b/>
                <w:color w:val="30A46C"/>
                <w:sz w:val="22"/>
              </w:rPr>
              <w:t>+$0.40 / +27%</w:t>
            </w:r>
          </w:p>
        </w:tc>
        <w:tc>
          <w:tcPr>
            <w:tcW w:type="dxa" w:w="1080"/>
          </w:tcPr>
          <w:p>
            <w:r>
              <w:rPr>
                <w:rFonts w:ascii="Calibri" w:hAnsi="Calibri"/>
                <w:sz w:val="22"/>
              </w:rPr>
              <w:t>$1.00–$2.00</w:t>
            </w:r>
          </w:p>
        </w:tc>
        <w:tc>
          <w:tcPr>
            <w:tcW w:type="dxa" w:w="1080"/>
          </w:tcPr>
          <w:p>
            <w:r>
              <w:rPr>
                <w:rFonts w:ascii="Calibri" w:hAnsi="Calibri"/>
                <w:sz w:val="22"/>
              </w:rPr>
              <w:t>Unchanged</w:t>
            </w:r>
          </w:p>
        </w:tc>
        <w:tc>
          <w:tcPr>
            <w:tcW w:type="dxa" w:w="1080"/>
          </w:tcPr>
          <w:p>
            <w:r>
              <w:rPr>
                <w:rFonts w:ascii="Calibri" w:hAnsi="Calibri"/>
                <w:sz w:val="22"/>
              </w:rPr>
              <w:t>Near top of range</w:t>
            </w:r>
          </w:p>
        </w:tc>
      </w:tr>
      <w:tr>
        <w:tc>
          <w:tcPr>
            <w:tcW w:type="dxa" w:w="1080"/>
          </w:tcPr>
          <w:p>
            <w:r>
              <w:rPr>
                <w:rFonts w:ascii="Calibri" w:hAnsi="Calibri"/>
                <w:sz w:val="22"/>
              </w:rPr>
              <w:t>Adj. EPS</w:t>
            </w:r>
          </w:p>
        </w:tc>
        <w:tc>
          <w:tcPr>
            <w:tcW w:type="dxa" w:w="1080"/>
          </w:tcPr>
          <w:p>
            <w:r>
              <w:rPr>
                <w:rFonts w:ascii="Calibri" w:hAnsi="Calibri"/>
                <w:sz w:val="22"/>
              </w:rPr>
              <w:t>FY 2026</w:t>
            </w:r>
          </w:p>
        </w:tc>
        <w:tc>
          <w:tcPr>
            <w:tcW w:type="dxa" w:w="1080"/>
          </w:tcPr>
          <w:p>
            <w:r>
              <w:rPr>
                <w:rFonts w:ascii="Calibri" w:hAnsi="Calibri"/>
                <w:sz w:val="22"/>
              </w:rPr>
              <w:t>~$9.00</w:t>
            </w:r>
          </w:p>
        </w:tc>
        <w:tc>
          <w:tcPr>
            <w:tcW w:type="dxa" w:w="1080"/>
          </w:tcPr>
          <w:p>
            <w:r>
              <w:rPr>
                <w:rFonts w:ascii="Calibri" w:hAnsi="Calibri"/>
                <w:sz w:val="22"/>
              </w:rPr>
              <w:t>$10.70</w:t>
            </w:r>
          </w:p>
        </w:tc>
        <w:tc>
          <w:tcPr>
            <w:tcW w:type="dxa" w:w="1080"/>
          </w:tcPr>
          <w:p>
            <w:r>
              <w:rPr>
                <w:rFonts w:ascii="Calibri" w:hAnsi="Calibri"/>
                <w:b/>
                <w:color w:val="30A46C"/>
                <w:sz w:val="22"/>
              </w:rPr>
              <w:t>+$1.70 / +19%</w:t>
            </w:r>
          </w:p>
        </w:tc>
        <w:tc>
          <w:tcPr>
            <w:tcW w:type="dxa" w:w="1080"/>
          </w:tcPr>
          <w:p>
            <w:r>
              <w:rPr>
                <w:rFonts w:ascii="Calibri" w:hAnsi="Calibri"/>
                <w:sz w:val="22"/>
              </w:rPr>
              <w:t>$7.00–$11.00</w:t>
            </w:r>
          </w:p>
        </w:tc>
        <w:tc>
          <w:tcPr>
            <w:tcW w:type="dxa" w:w="1080"/>
          </w:tcPr>
          <w:p>
            <w:r>
              <w:rPr>
                <w:rFonts w:ascii="Calibri" w:hAnsi="Calibri"/>
                <w:sz w:val="22"/>
              </w:rPr>
              <w:t>Unchanged</w:t>
            </w:r>
          </w:p>
        </w:tc>
        <w:tc>
          <w:tcPr>
            <w:tcW w:type="dxa" w:w="1080"/>
          </w:tcPr>
          <w:p>
            <w:r>
              <w:rPr>
                <w:rFonts w:ascii="Calibri" w:hAnsi="Calibri"/>
                <w:sz w:val="22"/>
              </w:rPr>
              <w:t>Upper half of range</w:t>
            </w:r>
          </w:p>
        </w:tc>
      </w:tr>
      <w:tr>
        <w:tc>
          <w:tcPr>
            <w:tcW w:type="dxa" w:w="1080"/>
          </w:tcPr>
          <w:p>
            <w:r>
              <w:rPr>
                <w:rFonts w:ascii="Calibri" w:hAnsi="Calibri"/>
                <w:sz w:val="22"/>
              </w:rPr>
              <w:t>Total Revenue</w:t>
            </w:r>
          </w:p>
        </w:tc>
        <w:tc>
          <w:tcPr>
            <w:tcW w:type="dxa" w:w="1080"/>
          </w:tcPr>
          <w:p>
            <w:r>
              <w:rPr>
                <w:rFonts w:ascii="Calibri" w:hAnsi="Calibri"/>
                <w:sz w:val="22"/>
              </w:rPr>
              <w:t>Q2 2026</w:t>
            </w:r>
          </w:p>
        </w:tc>
        <w:tc>
          <w:tcPr>
            <w:tcW w:type="dxa" w:w="1080"/>
          </w:tcPr>
          <w:p>
            <w:r>
              <w:rPr>
                <w:rFonts w:ascii="Calibri" w:hAnsi="Calibri"/>
                <w:sz w:val="22"/>
              </w:rPr>
              <w:t>~$17.0B</w:t>
            </w:r>
          </w:p>
        </w:tc>
        <w:tc>
          <w:tcPr>
            <w:tcW w:type="dxa" w:w="1080"/>
          </w:tcPr>
          <w:p>
            <w:r>
              <w:rPr>
                <w:rFonts w:ascii="Calibri" w:hAnsi="Calibri"/>
                <w:sz w:val="22"/>
              </w:rPr>
              <w:t>$17.62B</w:t>
            </w:r>
          </w:p>
        </w:tc>
        <w:tc>
          <w:tcPr>
            <w:tcW w:type="dxa" w:w="1080"/>
          </w:tcPr>
          <w:p>
            <w:r>
              <w:rPr>
                <w:rFonts w:ascii="Calibri" w:hAnsi="Calibri"/>
                <w:b/>
                <w:color w:val="30A46C"/>
                <w:sz w:val="22"/>
              </w:rPr>
              <w:t>+$0.62B / +3.6%</w:t>
            </w:r>
          </w:p>
        </w:tc>
        <w:tc>
          <w:tcPr>
            <w:tcW w:type="dxa" w:w="1080"/>
          </w:tcPr>
          <w:p>
            <w:r>
              <w:rPr>
                <w:rFonts w:ascii="Calibri" w:hAnsi="Calibri"/>
                <w:sz w:val="22"/>
              </w:rPr>
              <w:t>Double-digit RASM growth</w:t>
            </w:r>
          </w:p>
        </w:tc>
        <w:tc>
          <w:tcPr>
            <w:tcW w:type="dxa" w:w="1080"/>
          </w:tcPr>
          <w:p>
            <w:r>
              <w:rPr>
                <w:rFonts w:ascii="Calibri" w:hAnsi="Calibri"/>
                <w:sz w:val="22"/>
              </w:rPr>
              <w:t>Unchanged</w:t>
            </w:r>
          </w:p>
        </w:tc>
        <w:tc>
          <w:tcPr>
            <w:tcW w:type="dxa" w:w="1080"/>
          </w:tcPr>
          <w:p>
            <w:r>
              <w:rPr>
                <w:rFonts w:ascii="Calibri" w:hAnsi="Calibri"/>
                <w:sz w:val="22"/>
              </w:rPr>
              <w:t>Above implied midpoint</w:t>
            </w:r>
          </w:p>
        </w:tc>
      </w:tr>
      <w:tr>
        <w:tc>
          <w:tcPr>
            <w:tcW w:type="dxa" w:w="1080"/>
          </w:tcPr>
          <w:p>
            <w:r>
              <w:rPr>
                <w:rFonts w:ascii="Calibri" w:hAnsi="Calibri"/>
                <w:sz w:val="22"/>
              </w:rPr>
              <w:t>Total Revenue</w:t>
            </w:r>
          </w:p>
        </w:tc>
        <w:tc>
          <w:tcPr>
            <w:tcW w:type="dxa" w:w="1080"/>
          </w:tcPr>
          <w:p>
            <w:r>
              <w:rPr>
                <w:rFonts w:ascii="Calibri" w:hAnsi="Calibri"/>
                <w:sz w:val="22"/>
              </w:rPr>
              <w:t>FY 2026</w:t>
            </w:r>
          </w:p>
        </w:tc>
        <w:tc>
          <w:tcPr>
            <w:tcW w:type="dxa" w:w="1080"/>
          </w:tcPr>
          <w:p>
            <w:r>
              <w:rPr>
                <w:rFonts w:ascii="Calibri" w:hAnsi="Calibri"/>
                <w:sz w:val="22"/>
              </w:rPr>
              <w:t>~$64.5B</w:t>
            </w:r>
          </w:p>
        </w:tc>
        <w:tc>
          <w:tcPr>
            <w:tcW w:type="dxa" w:w="1080"/>
          </w:tcPr>
          <w:p>
            <w:r>
              <w:rPr>
                <w:rFonts w:ascii="Calibri" w:hAnsi="Calibri"/>
                <w:sz w:val="22"/>
              </w:rPr>
              <w:t>$67.25B</w:t>
            </w:r>
          </w:p>
        </w:tc>
        <w:tc>
          <w:tcPr>
            <w:tcW w:type="dxa" w:w="1080"/>
          </w:tcPr>
          <w:p>
            <w:r>
              <w:rPr>
                <w:rFonts w:ascii="Calibri" w:hAnsi="Calibri"/>
                <w:b/>
                <w:color w:val="30A46C"/>
                <w:sz w:val="22"/>
              </w:rPr>
              <w:t>+$2.75B / +4.3%</w:t>
            </w:r>
          </w:p>
        </w:tc>
        <w:tc>
          <w:tcPr>
            <w:tcW w:type="dxa" w:w="1080"/>
          </w:tcPr>
          <w:p>
            <w:r>
              <w:rPr>
                <w:rFonts w:ascii="Calibri" w:hAnsi="Calibri"/>
                <w:sz w:val="22"/>
              </w:rPr>
              <w:t>Double-digit RASM growth</w:t>
            </w:r>
          </w:p>
        </w:tc>
        <w:tc>
          <w:tcPr>
            <w:tcW w:type="dxa" w:w="1080"/>
          </w:tcPr>
          <w:p>
            <w:r>
              <w:rPr>
                <w:rFonts w:ascii="Calibri" w:hAnsi="Calibri"/>
                <w:sz w:val="22"/>
              </w:rPr>
              <w:t>Unchanged</w:t>
            </w:r>
          </w:p>
        </w:tc>
        <w:tc>
          <w:tcPr>
            <w:tcW w:type="dxa" w:w="1080"/>
          </w:tcPr>
          <w:p>
            <w:r>
              <w:rPr>
                <w:rFonts w:ascii="Calibri" w:hAnsi="Calibri"/>
                <w:sz w:val="22"/>
              </w:rPr>
              <w:t>Above implied midpoint</w:t>
            </w:r>
          </w:p>
        </w:tc>
      </w:tr>
    </w:tbl>
    <w:p>
      <w:r>
        <w:rPr>
          <w:rFonts w:ascii="Calibri" w:hAnsi="Calibri"/>
          <w:b/>
          <w:color w:val="525866"/>
          <w:sz w:val="22"/>
        </w:rPr>
        <w:t xml:space="preserve">Commentary: </w:t>
      </w:r>
      <w:r>
        <w:rPr>
          <w:rFonts w:ascii="Calibri" w:hAnsi="Calibri"/>
          <w:color w:val="525866"/>
          <w:sz w:val="22"/>
        </w:rPr>
        <w:t>Estimates have drifted meaningfully higher since Q1 earnings, driven by oil price declines (from ~$4.30 guidance assumption to ~$4.19 actual in Q2) and sustained demand strength. The consensus EPS of $1.90 sits near the top of the $1–$2 guidance range, implying the Street is pricing in a favorable fuel outcome. The FY consensus of $10.70 is in the upper half of the $7–$11 range, consistent with management’s “upper half if fuel declines” framework. The risk is that the bar has risen significantly — any fuel re-escalation or demand softness in Q3 guidance could disappoint even if Q2 itself beats.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UAL has dramatically outperformed both the airline sector (JETS) and the broader market (SPY) since Q1 earnings, driven by oil price declines, sustained demand strength, and multiple expansion as the fuel recovery thesis gained credibility; at $120.97, the stock has already priced in a significant portion of the good news, and </w:t>
      </w:r>
      <w:r>
        <w:rPr>
          <w:rFonts w:ascii="Calibri" w:hAnsi="Calibri"/>
          <w:b/>
          <w:color w:val="525866"/>
          <w:sz w:val="22"/>
        </w:rPr>
        <w:t>the print needs to deliver a clean beat plus constructive Q3 guidance</w:t>
      </w:r>
      <w:r>
        <w:rPr>
          <w:rFonts w:ascii="Calibri" w:hAnsi="Calibri"/>
          <w:color w:val="525866"/>
          <w:sz w:val="22"/>
        </w:rPr>
        <w:t xml:space="preserve"> to sustain momentum from current levels.</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UAL vs. JETS (Airline ETF) vs. S&amp;P 500 — Indexed to 100 at Q1 2026 Earnings (Apr 21, 2026). Source: Stock Price Data.</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UAL</w:t>
            </w:r>
          </w:p>
        </w:tc>
        <w:tc>
          <w:tcPr>
            <w:tcW w:type="dxa" w:w="2160"/>
            <w:shd w:val="clear" w:color="auto" w:fill="3B4259"/>
          </w:tcPr>
          <w:p>
            <w:r>
              <w:rPr>
                <w:rFonts w:ascii="Calibri" w:hAnsi="Calibri"/>
                <w:b/>
                <w:color w:val="FFFFFF"/>
                <w:sz w:val="22"/>
              </w:rPr>
              <w:t>JETS (Airline ETF)</w:t>
            </w:r>
          </w:p>
        </w:tc>
        <w:tc>
          <w:tcPr>
            <w:tcW w:type="dxa" w:w="2160"/>
            <w:shd w:val="clear" w:color="auto" w:fill="3B4259"/>
          </w:tcPr>
          <w:p>
            <w:r>
              <w:rPr>
                <w:rFonts w:ascii="Calibri" w:hAnsi="Calibri"/>
                <w:b/>
                <w:color w:val="FFFFFF"/>
                <w:sz w:val="22"/>
              </w:rPr>
              <w:t>SPY (S&amp;P 500)</w:t>
            </w:r>
          </w:p>
        </w:tc>
      </w:tr>
      <w:tr>
        <w:tc>
          <w:tcPr>
            <w:tcW w:type="dxa" w:w="2160"/>
          </w:tcPr>
          <w:p>
            <w:r>
              <w:rPr>
                <w:rFonts w:ascii="Calibri" w:hAnsi="Calibri"/>
                <w:sz w:val="22"/>
              </w:rPr>
              <w:t>Price at Q1 Earnings (Apr 21, 2026)</w:t>
            </w:r>
          </w:p>
        </w:tc>
        <w:tc>
          <w:tcPr>
            <w:tcW w:type="dxa" w:w="2160"/>
          </w:tcPr>
          <w:p>
            <w:r>
              <w:rPr>
                <w:rFonts w:ascii="Calibri" w:hAnsi="Calibri"/>
                <w:sz w:val="22"/>
              </w:rPr>
              <w:t>$97.13</w:t>
            </w:r>
          </w:p>
        </w:tc>
        <w:tc>
          <w:tcPr>
            <w:tcW w:type="dxa" w:w="2160"/>
          </w:tcPr>
          <w:p>
            <w:r>
              <w:rPr>
                <w:rFonts w:ascii="Calibri" w:hAnsi="Calibri"/>
                <w:sz w:val="22"/>
              </w:rPr>
              <w:t>$26.75</w:t>
            </w:r>
          </w:p>
        </w:tc>
        <w:tc>
          <w:tcPr>
            <w:tcW w:type="dxa" w:w="2160"/>
          </w:tcPr>
          <w:p>
            <w:r>
              <w:rPr>
                <w:rFonts w:ascii="Calibri" w:hAnsi="Calibri"/>
                <w:sz w:val="22"/>
              </w:rPr>
              <w:t>$704.08</w:t>
            </w:r>
          </w:p>
        </w:tc>
      </w:tr>
      <w:tr>
        <w:tc>
          <w:tcPr>
            <w:tcW w:type="dxa" w:w="2160"/>
          </w:tcPr>
          <w:p>
            <w:r>
              <w:rPr>
                <w:rFonts w:ascii="Calibri" w:hAnsi="Calibri"/>
                <w:sz w:val="22"/>
              </w:rPr>
              <w:t>Price at July 15, 2026 Close</w:t>
            </w:r>
          </w:p>
        </w:tc>
        <w:tc>
          <w:tcPr>
            <w:tcW w:type="dxa" w:w="2160"/>
          </w:tcPr>
          <w:p>
            <w:r>
              <w:rPr>
                <w:rFonts w:ascii="Calibri" w:hAnsi="Calibri"/>
                <w:sz w:val="22"/>
              </w:rPr>
              <w:t>$120.97</w:t>
            </w:r>
          </w:p>
        </w:tc>
        <w:tc>
          <w:tcPr>
            <w:tcW w:type="dxa" w:w="2160"/>
          </w:tcPr>
          <w:p>
            <w:r>
              <w:rPr>
                <w:rFonts w:ascii="Calibri" w:hAnsi="Calibri"/>
                <w:sz w:val="22"/>
              </w:rPr>
              <w:t>$31.25</w:t>
            </w:r>
          </w:p>
        </w:tc>
        <w:tc>
          <w:tcPr>
            <w:tcW w:type="dxa" w:w="2160"/>
          </w:tcPr>
          <w:p>
            <w:r>
              <w:rPr>
                <w:rFonts w:ascii="Calibri" w:hAnsi="Calibri"/>
                <w:sz w:val="22"/>
              </w:rPr>
              <w:t>$754.81</w:t>
            </w:r>
          </w:p>
        </w:tc>
      </w:tr>
      <w:tr>
        <w:tc>
          <w:tcPr>
            <w:tcW w:type="dxa" w:w="2160"/>
          </w:tcPr>
          <w:p>
            <w:r>
              <w:rPr>
                <w:rFonts w:ascii="Calibri" w:hAnsi="Calibri"/>
                <w:sz w:val="22"/>
              </w:rPr>
              <w:t>Return Since Q1 Earnings</w:t>
            </w:r>
          </w:p>
        </w:tc>
        <w:tc>
          <w:tcPr>
            <w:tcW w:type="dxa" w:w="2160"/>
          </w:tcPr>
          <w:p>
            <w:r>
              <w:rPr>
                <w:rFonts w:ascii="Calibri" w:hAnsi="Calibri"/>
                <w:b/>
                <w:color w:val="30A46C"/>
                <w:sz w:val="22"/>
              </w:rPr>
              <w:t>+24.5%</w:t>
            </w:r>
          </w:p>
        </w:tc>
        <w:tc>
          <w:tcPr>
            <w:tcW w:type="dxa" w:w="2160"/>
          </w:tcPr>
          <w:p>
            <w:r>
              <w:rPr>
                <w:rFonts w:ascii="Calibri" w:hAnsi="Calibri"/>
                <w:sz w:val="22"/>
              </w:rPr>
              <w:t>+16.8%</w:t>
            </w:r>
          </w:p>
        </w:tc>
        <w:tc>
          <w:tcPr>
            <w:tcW w:type="dxa" w:w="2160"/>
          </w:tcPr>
          <w:p>
            <w:r>
              <w:rPr>
                <w:rFonts w:ascii="Calibri" w:hAnsi="Calibri"/>
                <w:sz w:val="22"/>
              </w:rPr>
              <w:t>+7.2%</w:t>
            </w:r>
          </w:p>
        </w:tc>
      </w:tr>
      <w:tr>
        <w:tc>
          <w:tcPr>
            <w:tcW w:type="dxa" w:w="2160"/>
          </w:tcPr>
          <w:p>
            <w:r>
              <w:rPr>
                <w:rFonts w:ascii="Calibri" w:hAnsi="Calibri"/>
                <w:sz w:val="22"/>
              </w:rPr>
              <w:t>UAL vs. JETS Alpha</w:t>
            </w:r>
          </w:p>
        </w:tc>
        <w:tc>
          <w:tcPr>
            <w:tcW w:type="dxa" w:w="2160"/>
          </w:tcPr>
          <w:p>
            <w:r>
              <w:rPr>
                <w:rFonts w:ascii="Calibri" w:hAnsi="Calibri"/>
                <w:b/>
                <w:color w:val="30A46C"/>
                <w:sz w:val="22"/>
              </w:rPr>
              <w:t>+7.7pp vs. JETS</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UAL vs. SPY Alpha</w:t>
            </w:r>
          </w:p>
        </w:tc>
        <w:tc>
          <w:tcPr>
            <w:tcW w:type="dxa" w:w="2160"/>
          </w:tcPr>
          <w:p>
            <w:r>
              <w:rPr>
                <w:rFonts w:ascii="Calibri" w:hAnsi="Calibri"/>
                <w:b/>
                <w:color w:val="30A46C"/>
                <w:sz w:val="22"/>
              </w:rPr>
              <w:t>+17.3pp vs. SPY</w:t>
            </w:r>
          </w:p>
        </w:tc>
        <w:tc>
          <w:tcPr>
            <w:tcW w:type="dxa" w:w="2160"/>
          </w:tcPr>
          <w:p>
            <w:r>
              <w:rPr>
                <w:rFonts w:ascii="Calibri" w:hAnsi="Calibri"/>
                <w:sz w:val="22"/>
              </w:rPr>
              <w:t>—</w:t>
            </w:r>
          </w:p>
        </w:tc>
        <w:tc>
          <w:tcPr>
            <w:tcW w:type="dxa" w:w="2160"/>
          </w:tcPr>
          <w:p>
            <w:r>
              <w:rPr>
                <w:rFonts w:ascii="Calibri" w:hAnsi="Calibri"/>
                <w:sz w:val="22"/>
              </w:rPr>
              <w:t>—</w:t>
            </w:r>
          </w:p>
        </w:tc>
      </w:tr>
      <w:tr>
        <w:tc>
          <w:tcPr>
            <w:tcW w:type="dxa" w:w="2160"/>
          </w:tcPr>
          <w:p>
            <w:r>
              <w:rPr>
                <w:rFonts w:ascii="Calibri" w:hAnsi="Calibri"/>
                <w:sz w:val="22"/>
              </w:rPr>
              <w:t>52-Week High (Intraday)</w:t>
            </w:r>
          </w:p>
        </w:tc>
        <w:tc>
          <w:tcPr>
            <w:tcW w:type="dxa" w:w="2160"/>
          </w:tcPr>
          <w:p>
            <w:r>
              <w:rPr>
                <w:rFonts w:ascii="Calibri" w:hAnsi="Calibri"/>
                <w:sz w:val="22"/>
              </w:rPr>
              <w:t>~$136 (Jun 25–26, 2026)</w:t>
            </w:r>
          </w:p>
        </w:tc>
        <w:tc>
          <w:tcPr>
            <w:tcW w:type="dxa" w:w="2160"/>
          </w:tcPr>
          <w:p>
            <w:r>
              <w:rPr>
                <w:rFonts w:ascii="Calibri" w:hAnsi="Calibri"/>
                <w:sz w:val="22"/>
              </w:rPr>
              <w:t>—</w:t>
            </w:r>
          </w:p>
        </w:tc>
        <w:tc>
          <w:tcPr>
            <w:tcW w:type="dxa" w:w="2160"/>
          </w:tcPr>
          <w:p>
            <w:r>
              <w:rPr>
                <w:rFonts w:ascii="Calibri" w:hAnsi="Calibri"/>
                <w:sz w:val="22"/>
              </w:rPr>
              <w:t>—</w:t>
            </w:r>
          </w:p>
        </w:tc>
      </w:tr>
    </w:tbl>
    <w:p>
      <w:r>
        <w:rPr>
          <w:rFonts w:ascii="Calibri" w:hAnsi="Calibri"/>
          <w:b/>
          <w:color w:val="525866"/>
          <w:sz w:val="22"/>
        </w:rPr>
        <w:t xml:space="preserve">Key Drivers of Outperformance: </w:t>
      </w:r>
      <w:r>
        <w:rPr>
          <w:rFonts w:ascii="Calibri" w:hAnsi="Calibri"/>
          <w:color w:val="525866"/>
          <w:sz w:val="22"/>
        </w:rPr>
        <w:t xml:space="preserve">(1) Oil price decline from ~$4.30 guidance assumption toward lower levels pulled forward fuel recovery timeline; (2) Iran ceasefire reports in mid-June triggered a sharp rally (stock hit ~$136 on June 25–26); (3) AFA flight attendant contract ratified May 28, removing last major labor uncertainty; (4) Morgan Stanley raised PT to $182 on June 1; (5) DAL Q2 2026 earnings on July 10 showed strong industry demand, providing positive read-through; (6) Stock pulled back from ~$136 peak to ~$121 ahead of UAL’s own print, likely on profit-taking and some fuel price re-escalation. </w:t>
      </w:r>
      <w:r>
        <w:rPr>
          <w:rFonts w:ascii="Calibri" w:hAnsi="Calibri"/>
          <w:i/>
          <w:color w:val="525866"/>
          <w:sz w:val="22"/>
        </w:rPr>
        <w:t>Source: Stock Price Data.</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is uniformly constructive for UAL’s Q2 print — Delta’s Q2 2026 results (reported July 10) directly validate UAL’s double-digit RASM guidance and show fuel below UAL’s $4.30 assumption, while Q1 earnings calls from AAL, ALK, LUV, and JBLU all pointed to </w:t>
      </w:r>
      <w:r>
        <w:rPr>
          <w:rFonts w:ascii="Calibri" w:hAnsi="Calibri"/>
          <w:b/>
          <w:color w:val="525866"/>
          <w:sz w:val="22"/>
        </w:rPr>
        <w:t>resilient demand, no demand destruction from fare increases, and strong corporate travel</w:t>
      </w:r>
      <w:r>
        <w:rPr>
          <w:rFonts w:ascii="Calibri" w:hAnsi="Calibri"/>
          <w:color w:val="525866"/>
          <w:sz w:val="22"/>
        </w:rPr>
        <w:t xml:space="preserve"> heading into Q2 2026. Only forward-looking commentary about Q2 2026 and beyond is included below.</w:t>
      </w:r>
    </w:p>
    <w:p>
      <w:pPr>
        <w:pStyle w:val="Heading3"/>
      </w:pPr>
      <w:r>
        <w:rPr>
          <w:rFonts w:ascii="Calibri" w:hAnsi="Calibri"/>
          <w:b/>
          <w:color w:val="3B4259"/>
          <w:sz w:val="24"/>
        </w:rPr>
        <w:t>Delta Air Lines (DAL) — Q2 2026 Earnings Call (July 10, 2026) — Most Direct Read-Through</w:t>
      </w:r>
    </w:p>
    <w:p>
      <w:r>
        <w:rPr>
          <w:rFonts w:ascii="Calibri" w:hAnsi="Calibri"/>
          <w:color w:val="525866"/>
          <w:sz w:val="22"/>
        </w:rPr>
        <w:t>DAL reported Q2 2026 results on July 10, five days before UAL’s print, providing the most direct and timely read-through for UAL’s Q2 performance.</w:t>
      </w:r>
    </w:p>
    <w:p>
      <w:pPr>
        <w:pStyle w:val="ListBullet"/>
        <w:ind w:left="360" w:hanging="360"/>
      </w:pPr>
      <w:r>
        <w:rPr>
          <w:rFonts w:ascii="Calibri" w:hAnsi="Calibri"/>
          <w:b/>
          <w:color w:val="525866"/>
          <w:sz w:val="22"/>
        </w:rPr>
        <w:t xml:space="preserve">Record Revenue &amp; Unit Revenue: </w:t>
      </w:r>
      <w:r>
        <w:rPr>
          <w:rFonts w:ascii="Calibri" w:hAnsi="Calibri"/>
          <w:color w:val="525866"/>
          <w:sz w:val="22"/>
        </w:rPr>
        <w:t>Total revenue of $17.7B, up 14% YoY on ~1% capacity growth; total unit revenue grew 12.4% — directly validates UAL’s guidance for a double-digit RASM increase in Q2. Domestic unit revenue also grew 12.4%, driven by higher yield.</w:t>
      </w:r>
    </w:p>
    <w:p>
      <w:pPr>
        <w:pStyle w:val="ListBullet"/>
        <w:ind w:left="360" w:hanging="360"/>
      </w:pPr>
      <w:r>
        <w:rPr>
          <w:rFonts w:ascii="Calibri" w:hAnsi="Calibri"/>
          <w:b/>
          <w:color w:val="525866"/>
          <w:sz w:val="22"/>
        </w:rPr>
        <w:t xml:space="preserve">Profitability Above Guidance: </w:t>
      </w:r>
      <w:r>
        <w:rPr>
          <w:rFonts w:ascii="Calibri" w:hAnsi="Calibri"/>
          <w:color w:val="525866"/>
          <w:sz w:val="22"/>
        </w:rPr>
        <w:t>Pre-tax profit of $1.4B, EPS of $1.56, operating margin of 9% — all above guidance provided at the start of the quarter. This is a strong positive signal for UAL’s ability to beat its own $1–$2 EPS range.</w:t>
      </w:r>
    </w:p>
    <w:p>
      <w:pPr>
        <w:pStyle w:val="ListBullet"/>
        <w:ind w:left="360" w:hanging="360"/>
      </w:pPr>
      <w:r>
        <w:rPr>
          <w:rFonts w:ascii="Calibri" w:hAnsi="Calibri"/>
          <w:b/>
          <w:color w:val="525866"/>
          <w:sz w:val="22"/>
        </w:rPr>
        <w:t xml:space="preserve">Fuel Below UAL’s Assumption: </w:t>
      </w:r>
      <w:r>
        <w:rPr>
          <w:rFonts w:ascii="Calibri" w:hAnsi="Calibri"/>
          <w:color w:val="525866"/>
          <w:sz w:val="22"/>
        </w:rPr>
        <w:t>Fuel at $3.93/gallon (including 11¢ refinery benefit) — meaningfully below UAL’s $4.30/gallon guidance assumption. If UAL’s fuel tracks similarly, this alone could add ~$0.30–$0.40 to EPS vs. the guidance midpoint.</w:t>
      </w:r>
    </w:p>
    <w:p>
      <w:pPr>
        <w:pStyle w:val="ListBullet"/>
        <w:ind w:left="360" w:hanging="360"/>
      </w:pPr>
      <w:r>
        <w:rPr>
          <w:rFonts w:ascii="Calibri" w:hAnsi="Calibri"/>
          <w:b/>
          <w:color w:val="525866"/>
          <w:sz w:val="22"/>
        </w:rPr>
        <w:t xml:space="preserve">Premium &amp; Loyalty Strength: </w:t>
      </w:r>
      <w:r>
        <w:rPr>
          <w:rFonts w:ascii="Calibri" w:hAnsi="Calibri"/>
          <w:color w:val="525866"/>
          <w:sz w:val="22"/>
        </w:rPr>
        <w:t>Premium and loyalty revenue both up ~20% YoY, representing 61% of total revenue (up 2pp YoY) — validates UAL’s premium strategy and MileagePlus growth thesis.</w:t>
      </w:r>
    </w:p>
    <w:p>
      <w:pPr>
        <w:pStyle w:val="ListBullet"/>
        <w:ind w:left="360" w:hanging="360"/>
      </w:pPr>
      <w:r>
        <w:rPr>
          <w:rFonts w:ascii="Calibri" w:hAnsi="Calibri"/>
          <w:b/>
          <w:color w:val="525866"/>
          <w:sz w:val="22"/>
        </w:rPr>
        <w:t xml:space="preserve">Corporate Demand Robust: </w:t>
      </w:r>
      <w:r>
        <w:rPr>
          <w:rFonts w:ascii="Calibri" w:hAnsi="Calibri"/>
          <w:color w:val="525866"/>
          <w:sz w:val="22"/>
        </w:rPr>
        <w:t>Corporate sales showed double-digit growth across all sectors; core and coastal hubs up 20%+ vs. prior year. Main cabin unit revenue grew mid-teens in June, showing demand broadening beyond premium.</w:t>
      </w:r>
    </w:p>
    <w:p>
      <w:pPr>
        <w:pStyle w:val="ListBullet"/>
        <w:ind w:left="360" w:hanging="360"/>
      </w:pPr>
      <w:r>
        <w:rPr>
          <w:rFonts w:ascii="Calibri" w:hAnsi="Calibri"/>
          <w:b/>
          <w:color w:val="525866"/>
          <w:sz w:val="22"/>
        </w:rPr>
        <w:t xml:space="preserve">Q3 2026 Guidance (Forward Read): </w:t>
      </w:r>
      <w:r>
        <w:rPr>
          <w:rFonts w:ascii="Calibri" w:hAnsi="Calibri"/>
          <w:color w:val="525866"/>
          <w:sz w:val="22"/>
        </w:rPr>
        <w:t>Revenue up mid-teens vs. last year; operating margin 11–13%; EPS $2.00–$2.50 (vs. $1.70 last year); capacity up 1%. Fuel assumed at ~$3.15/gallon. Demand “strong and broad-based” with forward bookings improving across entire booking curve.</w:t>
      </w:r>
    </w:p>
    <w:p>
      <w:pPr>
        <w:pStyle w:val="ListBullet"/>
        <w:ind w:left="360" w:hanging="360"/>
      </w:pPr>
      <w:r>
        <w:rPr>
          <w:rFonts w:ascii="Calibri" w:hAnsi="Calibri"/>
          <w:b/>
          <w:color w:val="525866"/>
          <w:sz w:val="22"/>
        </w:rPr>
        <w:t xml:space="preserve">Industry Pricing Discipline: </w:t>
      </w:r>
      <w:r>
        <w:rPr>
          <w:rFonts w:ascii="Calibri" w:hAnsi="Calibri"/>
          <w:color w:val="525866"/>
          <w:sz w:val="22"/>
        </w:rPr>
        <w:t>DAL management stated the industry “has no other choice” but to hold pricing given fuel/non-fuel inflation; airfares still 10–15 points below overall inflation, providing room for further increases.</w:t>
      </w:r>
    </w:p>
    <w:p>
      <w:pPr>
        <w:pStyle w:val="ListBullet"/>
        <w:ind w:left="360" w:hanging="360"/>
      </w:pPr>
      <w:r>
        <w:rPr>
          <w:rFonts w:ascii="Calibri" w:hAnsi="Calibri"/>
          <w:b/>
          <w:color w:val="525866"/>
          <w:sz w:val="22"/>
        </w:rPr>
        <w:t xml:space="preserve">FY 2026 Guidance Affirmed: </w:t>
      </w:r>
      <w:r>
        <w:rPr>
          <w:rFonts w:ascii="Calibri" w:hAnsi="Calibri"/>
          <w:color w:val="525866"/>
          <w:sz w:val="22"/>
        </w:rPr>
        <w:t>DAL affirmed FY 2026 EPS guidance of $6.50–$7.50 (20% YoY growth) and FCF of $3–$4B despite the fuel headwind — a confidence signal for the broader industry.</w:t>
      </w:r>
    </w:p>
    <w:p>
      <w:pPr>
        <w:pStyle w:val="Heading3"/>
      </w:pPr>
      <w:r>
        <w:rPr>
          <w:rFonts w:ascii="Calibri" w:hAnsi="Calibri"/>
          <w:b/>
          <w:color w:val="3B4259"/>
          <w:sz w:val="24"/>
        </w:rPr>
        <w:t>American Airlines (AAL) — Q1 2026 Earnings Call (April 23, 2026)</w:t>
      </w:r>
    </w:p>
    <w:p>
      <w:r>
        <w:rPr>
          <w:rFonts w:ascii="Calibri" w:hAnsi="Calibri"/>
          <w:color w:val="525866"/>
          <w:sz w:val="22"/>
        </w:rPr>
        <w:t>Forward-looking commentary for Q2 2026 and beyond (AAL reports Q2 2026 after UAL):</w:t>
      </w:r>
    </w:p>
    <w:p>
      <w:pPr>
        <w:pStyle w:val="ListBullet"/>
        <w:ind w:left="360" w:hanging="360"/>
      </w:pPr>
      <w:r>
        <w:rPr>
          <w:rFonts w:ascii="Calibri" w:hAnsi="Calibri"/>
          <w:b/>
          <w:color w:val="525866"/>
          <w:sz w:val="22"/>
        </w:rPr>
        <w:t xml:space="preserve">Q2 Revenue Guidance: </w:t>
      </w:r>
      <w:r>
        <w:rPr>
          <w:rFonts w:ascii="Calibri" w:hAnsi="Calibri"/>
          <w:color w:val="525866"/>
          <w:sz w:val="22"/>
        </w:rPr>
        <w:t>Q2 revenue expected up 13.5–16.5% YoY (~15% midpoint); 65% of Q2 already booked at time of call — high visibility into the quarter, consistent with UAL’s demand commentary.</w:t>
      </w:r>
    </w:p>
    <w:p>
      <w:pPr>
        <w:pStyle w:val="ListBullet"/>
        <w:ind w:left="360" w:hanging="360"/>
      </w:pPr>
      <w:r>
        <w:rPr>
          <w:rFonts w:ascii="Calibri" w:hAnsi="Calibri"/>
          <w:b/>
          <w:color w:val="525866"/>
          <w:sz w:val="22"/>
        </w:rPr>
        <w:t xml:space="preserve">Q2 EPS Guidance: </w:t>
      </w:r>
      <w:r>
        <w:rPr>
          <w:rFonts w:ascii="Calibri" w:hAnsi="Calibri"/>
          <w:color w:val="525866"/>
          <w:sz w:val="22"/>
        </w:rPr>
        <w:t>-$0.20 to +$0.20 (fuel headwind of ~$4/gallon). AAL’s weaker balance sheet and higher leverage make its EPS more fuel-sensitive than UAL’s.</w:t>
      </w:r>
    </w:p>
    <w:p>
      <w:pPr>
        <w:pStyle w:val="ListBullet"/>
        <w:ind w:left="360" w:hanging="360"/>
      </w:pPr>
      <w:r>
        <w:rPr>
          <w:rFonts w:ascii="Calibri" w:hAnsi="Calibri"/>
          <w:b/>
          <w:color w:val="525866"/>
          <w:sz w:val="22"/>
        </w:rPr>
        <w:t xml:space="preserve">Domestic PRASM Acceleration: </w:t>
      </w:r>
      <w:r>
        <w:rPr>
          <w:rFonts w:ascii="Calibri" w:hAnsi="Calibri"/>
          <w:color w:val="525866"/>
          <w:sz w:val="22"/>
        </w:rPr>
        <w:t>Domestic PRASM expected to accelerate in Q2, growing more than 10% YoY — validates UAL’s domestic yield recovery thesis.</w:t>
      </w:r>
    </w:p>
    <w:p>
      <w:pPr>
        <w:pStyle w:val="ListBullet"/>
        <w:ind w:left="360" w:hanging="360"/>
      </w:pPr>
      <w:r>
        <w:rPr>
          <w:rFonts w:ascii="Calibri" w:hAnsi="Calibri"/>
          <w:b/>
          <w:color w:val="525866"/>
          <w:sz w:val="22"/>
        </w:rPr>
        <w:t xml:space="preserve">Atlantic Strength: </w:t>
      </w:r>
      <w:r>
        <w:rPr>
          <w:rFonts w:ascii="Calibri" w:hAnsi="Calibri"/>
          <w:color w:val="525866"/>
          <w:sz w:val="22"/>
        </w:rPr>
        <w:t>Atlantic unit revenue expected up high single digits in Q2 (was up 16.7% in Q1). International remains a key revenue driver across the industry.</w:t>
      </w:r>
    </w:p>
    <w:p>
      <w:pPr>
        <w:pStyle w:val="ListBullet"/>
        <w:ind w:left="360" w:hanging="360"/>
      </w:pPr>
      <w:r>
        <w:rPr>
          <w:rFonts w:ascii="Calibri" w:hAnsi="Calibri"/>
          <w:b/>
          <w:color w:val="525866"/>
          <w:sz w:val="22"/>
        </w:rPr>
        <w:t xml:space="preserve">Corporate Demand: </w:t>
      </w:r>
      <w:r>
        <w:rPr>
          <w:rFonts w:ascii="Calibri" w:hAnsi="Calibri"/>
          <w:color w:val="525866"/>
          <w:sz w:val="22"/>
        </w:rPr>
        <w:t>Managed corporate revenue up 13% YoY; unmanaged business up 28%. Premium paid load factors at historical highs, up ~10pp vs. 2019.</w:t>
      </w:r>
    </w:p>
    <w:p>
      <w:pPr>
        <w:pStyle w:val="ListBullet"/>
        <w:ind w:left="360" w:hanging="360"/>
      </w:pPr>
      <w:r>
        <w:rPr>
          <w:rFonts w:ascii="Calibri" w:hAnsi="Calibri"/>
          <w:b/>
          <w:color w:val="525866"/>
          <w:sz w:val="22"/>
        </w:rPr>
        <w:t xml:space="preserve">No Demand Destruction: </w:t>
      </w:r>
      <w:r>
        <w:rPr>
          <w:rFonts w:ascii="Calibri" w:hAnsi="Calibri"/>
          <w:color w:val="525866"/>
          <w:sz w:val="22"/>
        </w:rPr>
        <w:t>“No demand impact” from fare increases; 65% of Q2 booked at time of call. Five broad industry-wide fare moves since March 1, all “stuck” with all carriers participating.</w:t>
      </w:r>
    </w:p>
    <w:p>
      <w:pPr>
        <w:pStyle w:val="ListBullet"/>
        <w:ind w:left="360" w:hanging="360"/>
      </w:pPr>
      <w:r>
        <w:rPr>
          <w:rFonts w:ascii="Calibri" w:hAnsi="Calibri"/>
          <w:b/>
          <w:color w:val="525866"/>
          <w:sz w:val="22"/>
        </w:rPr>
        <w:t xml:space="preserve">Fuel Recapture Framework: </w:t>
      </w:r>
      <w:r>
        <w:rPr>
          <w:rFonts w:ascii="Calibri" w:hAnsi="Calibri"/>
          <w:color w:val="525866"/>
          <w:sz w:val="22"/>
        </w:rPr>
        <w:t>40–50% in Q2, 75–85% in Q3, potentially 90s in Q4 — nearly identical to UAL’s framework, suggesting industry-wide pricing discipline.</w:t>
      </w:r>
    </w:p>
    <w:p>
      <w:pPr>
        <w:pStyle w:val="ListBullet"/>
        <w:ind w:left="360" w:hanging="360"/>
      </w:pPr>
      <w:r>
        <w:rPr>
          <w:rFonts w:ascii="Calibri" w:hAnsi="Calibri"/>
          <w:b/>
          <w:color w:val="525866"/>
          <w:sz w:val="22"/>
        </w:rPr>
        <w:t xml:space="preserve">Capacity Discipline: </w:t>
      </w:r>
      <w:r>
        <w:rPr>
          <w:rFonts w:ascii="Calibri" w:hAnsi="Calibri"/>
          <w:color w:val="525866"/>
          <w:sz w:val="22"/>
        </w:rPr>
        <w:t>Capacity ~1 point below initial plans for Q2 (Tel Aviv/Doha suspended, Chicago reduced). CASMx up 2–4% YoY in Q2 (slightly elevated due to close-in capacity cuts).</w:t>
      </w:r>
    </w:p>
    <w:p>
      <w:pPr>
        <w:pStyle w:val="Heading3"/>
      </w:pPr>
      <w:r>
        <w:rPr>
          <w:rFonts w:ascii="Calibri" w:hAnsi="Calibri"/>
          <w:b/>
          <w:color w:val="3B4259"/>
          <w:sz w:val="24"/>
        </w:rPr>
        <w:t>Alaska Air Group (ALK) — Q1 2026 Earnings Call (April 21, 2026)</w:t>
      </w:r>
    </w:p>
    <w:p>
      <w:r>
        <w:rPr>
          <w:rFonts w:ascii="Calibri" w:hAnsi="Calibri"/>
          <w:color w:val="525866"/>
          <w:sz w:val="22"/>
        </w:rPr>
        <w:t>Forward-looking commentary for Q2 2026 and beyond:</w:t>
      </w:r>
    </w:p>
    <w:p>
      <w:pPr>
        <w:pStyle w:val="ListBullet"/>
        <w:ind w:left="360" w:hanging="360"/>
      </w:pPr>
      <w:r>
        <w:rPr>
          <w:rFonts w:ascii="Calibri" w:hAnsi="Calibri"/>
          <w:b/>
          <w:color w:val="525866"/>
          <w:sz w:val="22"/>
        </w:rPr>
        <w:t xml:space="preserve">Q2 RASM Guidance: </w:t>
      </w:r>
      <w:r>
        <w:rPr>
          <w:rFonts w:ascii="Calibri" w:hAnsi="Calibri"/>
          <w:color w:val="525866"/>
          <w:sz w:val="22"/>
        </w:rPr>
        <w:t>High single-digit unit revenue gains with a path to 10% in Q2, despite a 2pp drag from Hawaii-specific impacts. Excluding Hawaii, ALK believes its unit revenue trends are “as strong as others who have reported” — a positive read for UAL’s RASM.</w:t>
      </w:r>
    </w:p>
    <w:p>
      <w:pPr>
        <w:pStyle w:val="ListBullet"/>
        <w:ind w:left="360" w:hanging="360"/>
      </w:pPr>
      <w:r>
        <w:rPr>
          <w:rFonts w:ascii="Calibri" w:hAnsi="Calibri"/>
          <w:b/>
          <w:color w:val="525866"/>
          <w:sz w:val="22"/>
        </w:rPr>
        <w:t xml:space="preserve">Corporate Demand Surge: </w:t>
      </w:r>
      <w:r>
        <w:rPr>
          <w:rFonts w:ascii="Calibri" w:hAnsi="Calibri"/>
          <w:color w:val="525866"/>
          <w:sz w:val="22"/>
        </w:rPr>
        <w:t>Managed corporate demand for Q2 with held revenue over next 90 days up almost 30% — the strongest corporate demand signal across any peer, validating UAL’s business travel recovery thesis.</w:t>
      </w:r>
    </w:p>
    <w:p>
      <w:pPr>
        <w:pStyle w:val="ListBullet"/>
        <w:ind w:left="360" w:hanging="360"/>
      </w:pPr>
      <w:r>
        <w:rPr>
          <w:rFonts w:ascii="Calibri" w:hAnsi="Calibri"/>
          <w:b/>
          <w:color w:val="525866"/>
          <w:sz w:val="22"/>
        </w:rPr>
        <w:t xml:space="preserve">Yield Strength: </w:t>
      </w:r>
      <w:r>
        <w:rPr>
          <w:rFonts w:ascii="Calibri" w:hAnsi="Calibri"/>
          <w:color w:val="525866"/>
          <w:sz w:val="22"/>
        </w:rPr>
        <w:t>Incoming yields for Continental US markets up 20%+ YoY in recent weeks, pushing held unit revenues to up double digits for the back half of Q2.</w:t>
      </w:r>
    </w:p>
    <w:p>
      <w:pPr>
        <w:pStyle w:val="ListBullet"/>
        <w:ind w:left="360" w:hanging="360"/>
      </w:pPr>
      <w:r>
        <w:rPr>
          <w:rFonts w:ascii="Calibri" w:hAnsi="Calibri"/>
          <w:b/>
          <w:color w:val="525866"/>
          <w:sz w:val="22"/>
        </w:rPr>
        <w:t xml:space="preserve">Capacity Discipline: </w:t>
      </w:r>
      <w:r>
        <w:rPr>
          <w:rFonts w:ascii="Calibri" w:hAnsi="Calibri"/>
          <w:color w:val="525866"/>
          <w:sz w:val="22"/>
        </w:rPr>
        <w:t>Q2 capacity up ~1% YoY (among lowest in industry); North America capacity down slightly. Proactively trimmed ~1 point of capacity in May and June.</w:t>
      </w:r>
    </w:p>
    <w:p>
      <w:pPr>
        <w:pStyle w:val="ListBullet"/>
        <w:ind w:left="360" w:hanging="360"/>
      </w:pPr>
      <w:r>
        <w:rPr>
          <w:rFonts w:ascii="Calibri" w:hAnsi="Calibri"/>
          <w:b/>
          <w:color w:val="525866"/>
          <w:sz w:val="22"/>
        </w:rPr>
        <w:t xml:space="preserve">Fuel Headwind: </w:t>
      </w:r>
      <w:r>
        <w:rPr>
          <w:rFonts w:ascii="Calibri" w:hAnsi="Calibri"/>
          <w:color w:val="525866"/>
          <w:sz w:val="22"/>
        </w:rPr>
        <w:t>Fuel at ~$4.75/gallon in April; incremental fuel costs of $600M+ expected in Q2. Recovering ~1/3 of incremental fuel costs at time of call — less advanced than UAL’s recovery trajectory.</w:t>
      </w:r>
    </w:p>
    <w:p>
      <w:pPr>
        <w:pStyle w:val="ListBullet"/>
        <w:ind w:left="360" w:hanging="360"/>
      </w:pPr>
      <w:r>
        <w:rPr>
          <w:rFonts w:ascii="Calibri" w:hAnsi="Calibri"/>
          <w:b/>
          <w:color w:val="525866"/>
          <w:sz w:val="22"/>
        </w:rPr>
        <w:t xml:space="preserve">Premium Demand: </w:t>
      </w:r>
      <w:r>
        <w:rPr>
          <w:rFonts w:ascii="Calibri" w:hAnsi="Calibri"/>
          <w:color w:val="525866"/>
          <w:sz w:val="22"/>
        </w:rPr>
        <w:t>Premium demand up 8% YoY; 90%+ of premium fleet retrofits complete. Broad-based strength across manufacturing, financial services, and technology sectors.</w:t>
      </w:r>
    </w:p>
    <w:p>
      <w:pPr>
        <w:pStyle w:val="Heading3"/>
      </w:pPr>
      <w:r>
        <w:rPr>
          <w:rFonts w:ascii="Calibri" w:hAnsi="Calibri"/>
          <w:b/>
          <w:color w:val="3B4259"/>
          <w:sz w:val="24"/>
        </w:rPr>
        <w:t>Southwest Airlines (LUV) — Q1 2026 Earnings Call (April 23, 2026)</w:t>
      </w:r>
    </w:p>
    <w:p>
      <w:r>
        <w:rPr>
          <w:rFonts w:ascii="Calibri" w:hAnsi="Calibri"/>
          <w:color w:val="525866"/>
          <w:sz w:val="22"/>
        </w:rPr>
        <w:t>Forward-looking commentary for Q2 2026 and beyond:</w:t>
      </w:r>
    </w:p>
    <w:p>
      <w:pPr>
        <w:pStyle w:val="ListBullet"/>
        <w:ind w:left="360" w:hanging="360"/>
      </w:pPr>
      <w:r>
        <w:rPr>
          <w:rFonts w:ascii="Calibri" w:hAnsi="Calibri"/>
          <w:b/>
          <w:color w:val="525866"/>
          <w:sz w:val="22"/>
        </w:rPr>
        <w:t xml:space="preserve">Q2 RASM Guidance: </w:t>
      </w:r>
      <w:r>
        <w:rPr>
          <w:rFonts w:ascii="Calibri" w:hAnsi="Calibri"/>
          <w:color w:val="525866"/>
          <w:sz w:val="22"/>
        </w:rPr>
        <w:t>Up 16.5–18.5% YoY — described as “industry-leading by a wide margin.” LUV’s domestic-heavy network is benefiting disproportionately from domestic fare increases, providing a positive read for UAL’s domestic RASM.</w:t>
      </w:r>
    </w:p>
    <w:p>
      <w:pPr>
        <w:pStyle w:val="ListBullet"/>
        <w:ind w:left="360" w:hanging="360"/>
      </w:pPr>
      <w:r>
        <w:rPr>
          <w:rFonts w:ascii="Calibri" w:hAnsi="Calibri"/>
          <w:b/>
          <w:color w:val="525866"/>
          <w:sz w:val="22"/>
        </w:rPr>
        <w:t xml:space="preserve">Fare Increases Sticking: </w:t>
      </w:r>
      <w:r>
        <w:rPr>
          <w:rFonts w:ascii="Calibri" w:hAnsi="Calibri"/>
          <w:color w:val="525866"/>
          <w:sz w:val="22"/>
        </w:rPr>
        <w:t>Five broad industry-wide fare moves since March 1, all “stuck” with all carriers participating. This is the most direct confirmation that the pricing environment is holding across the industry.</w:t>
      </w:r>
    </w:p>
    <w:p>
      <w:pPr>
        <w:pStyle w:val="ListBullet"/>
        <w:ind w:left="360" w:hanging="360"/>
      </w:pPr>
      <w:r>
        <w:rPr>
          <w:rFonts w:ascii="Calibri" w:hAnsi="Calibri"/>
          <w:b/>
          <w:color w:val="525866"/>
          <w:sz w:val="22"/>
        </w:rPr>
        <w:t xml:space="preserve">Corporate Demand Record: </w:t>
      </w:r>
      <w:r>
        <w:rPr>
          <w:rFonts w:ascii="Calibri" w:hAnsi="Calibri"/>
          <w:color w:val="525866"/>
          <w:sz w:val="22"/>
        </w:rPr>
        <w:t>Managed corporate revenue up 16% in Q1, up 25% in March (largest quarter/month in history). Customer mix shift: 60% buying up from base product in Q1 2026 vs. ~20% in 2025 — a structural shift toward premium that benefits UAL’s premium-heavy strategy.</w:t>
      </w:r>
    </w:p>
    <w:p>
      <w:pPr>
        <w:pStyle w:val="ListBullet"/>
        <w:ind w:left="360" w:hanging="360"/>
      </w:pPr>
      <w:r>
        <w:rPr>
          <w:rFonts w:ascii="Calibri" w:hAnsi="Calibri"/>
          <w:b/>
          <w:color w:val="525866"/>
          <w:sz w:val="22"/>
        </w:rPr>
        <w:t xml:space="preserve">Q2 EPS Guidance: </w:t>
      </w:r>
      <w:r>
        <w:rPr>
          <w:rFonts w:ascii="Calibri" w:hAnsi="Calibri"/>
          <w:color w:val="525866"/>
          <w:sz w:val="22"/>
        </w:rPr>
        <w:t>$0.35–$0.65 (fuel at $4.10–$4.15/gallon). Q2 capacity up ~0.5% YoY.</w:t>
      </w:r>
    </w:p>
    <w:p>
      <w:pPr>
        <w:pStyle w:val="ListBullet"/>
        <w:ind w:left="360" w:hanging="360"/>
      </w:pPr>
      <w:r>
        <w:rPr>
          <w:rFonts w:ascii="Calibri" w:hAnsi="Calibri"/>
          <w:b/>
          <w:color w:val="525866"/>
          <w:sz w:val="22"/>
        </w:rPr>
        <w:t xml:space="preserve">Fuel Headwind: </w:t>
      </w:r>
      <w:r>
        <w:rPr>
          <w:rFonts w:ascii="Calibri" w:hAnsi="Calibri"/>
          <w:color w:val="525866"/>
          <w:sz w:val="22"/>
        </w:rPr>
        <w:t>Fuel a $1B headwind / 10pp margin impact in Q2. CASMx up 3.5–4% YoY in Q2.</w:t>
      </w:r>
    </w:p>
    <w:p>
      <w:pPr>
        <w:pStyle w:val="Heading3"/>
      </w:pPr>
      <w:r>
        <w:rPr>
          <w:rFonts w:ascii="Calibri" w:hAnsi="Calibri"/>
          <w:b/>
          <w:color w:val="3B4259"/>
          <w:sz w:val="24"/>
        </w:rPr>
        <w:t>JetBlue Airways (JBLU) — Q1 2026 Earnings Call (April 28, 2026)</w:t>
      </w:r>
    </w:p>
    <w:p>
      <w:r>
        <w:rPr>
          <w:rFonts w:ascii="Calibri" w:hAnsi="Calibri"/>
          <w:color w:val="525866"/>
          <w:sz w:val="22"/>
        </w:rPr>
        <w:t>Forward-looking commentary for Q2 2026 and beyond:</w:t>
      </w:r>
    </w:p>
    <w:p>
      <w:pPr>
        <w:pStyle w:val="ListBullet"/>
        <w:ind w:left="360" w:hanging="360"/>
      </w:pPr>
      <w:r>
        <w:rPr>
          <w:rFonts w:ascii="Calibri" w:hAnsi="Calibri"/>
          <w:b/>
          <w:color w:val="525866"/>
          <w:sz w:val="22"/>
        </w:rPr>
        <w:t xml:space="preserve">Q2 RASM Guidance: </w:t>
      </w:r>
      <w:r>
        <w:rPr>
          <w:rFonts w:ascii="Calibri" w:hAnsi="Calibri"/>
          <w:color w:val="525866"/>
          <w:sz w:val="22"/>
        </w:rPr>
        <w:t>Up 7–11% YoY on 1.5–4.5% more capacity. 90% booked for Q2 at time of call; over 2/3 of revenue already on books — high visibility, consistent with industry-wide demand strength.</w:t>
      </w:r>
    </w:p>
    <w:p>
      <w:pPr>
        <w:pStyle w:val="ListBullet"/>
        <w:ind w:left="360" w:hanging="360"/>
      </w:pPr>
      <w:r>
        <w:rPr>
          <w:rFonts w:ascii="Calibri" w:hAnsi="Calibri"/>
          <w:b/>
          <w:color w:val="525866"/>
          <w:sz w:val="22"/>
        </w:rPr>
        <w:t xml:space="preserve">Premium Outperformance: </w:t>
      </w:r>
      <w:r>
        <w:rPr>
          <w:rFonts w:ascii="Calibri" w:hAnsi="Calibri"/>
          <w:color w:val="525866"/>
          <w:sz w:val="22"/>
        </w:rPr>
        <w:t>Premium RASM outperforming core by 9pp in Q1; trend expected to continue in Q2 — validates UAL’s premium-first strategy.</w:t>
      </w:r>
    </w:p>
    <w:p>
      <w:pPr>
        <w:pStyle w:val="ListBullet"/>
        <w:ind w:left="360" w:hanging="360"/>
      </w:pPr>
      <w:r>
        <w:rPr>
          <w:rFonts w:ascii="Calibri" w:hAnsi="Calibri"/>
          <w:b/>
          <w:color w:val="525866"/>
          <w:sz w:val="22"/>
        </w:rPr>
        <w:t xml:space="preserve">Demand Resilience: </w:t>
      </w:r>
      <w:r>
        <w:rPr>
          <w:rFonts w:ascii="Calibri" w:hAnsi="Calibri"/>
          <w:color w:val="525866"/>
          <w:sz w:val="22"/>
        </w:rPr>
        <w:t>Demand “resilient” with no meaningful elasticity observed despite significantly higher fares. Capacity reduced by ~1 point close-in; second-half capacity to be cut 2–3 points.</w:t>
      </w:r>
    </w:p>
    <w:p>
      <w:pPr>
        <w:pStyle w:val="ListBullet"/>
        <w:ind w:left="360" w:hanging="360"/>
      </w:pPr>
      <w:r>
        <w:rPr>
          <w:rFonts w:ascii="Calibri" w:hAnsi="Calibri"/>
          <w:b/>
          <w:color w:val="525866"/>
          <w:sz w:val="22"/>
        </w:rPr>
        <w:t xml:space="preserve">Fuel Recapture: </w:t>
      </w:r>
      <w:r>
        <w:rPr>
          <w:rFonts w:ascii="Calibri" w:hAnsi="Calibri"/>
          <w:color w:val="525866"/>
          <w:sz w:val="22"/>
        </w:rPr>
        <w:t>30–40% in Q2; targeting 100% by early 2027. Fuel at $4.13–$4.28/gallon expected in Q2 (75% higher YoY).</w:t>
      </w:r>
    </w:p>
    <w:p>
      <w:pPr>
        <w:pStyle w:val="ListBullet"/>
        <w:ind w:left="360" w:hanging="360"/>
      </w:pPr>
      <w:r>
        <w:rPr>
          <w:rFonts w:ascii="Calibri" w:hAnsi="Calibri"/>
          <w:b/>
          <w:color w:val="525866"/>
          <w:sz w:val="22"/>
        </w:rPr>
        <w:t xml:space="preserve">Guidance Suspended: </w:t>
      </w:r>
      <w:r>
        <w:rPr>
          <w:rFonts w:ascii="Calibri" w:hAnsi="Calibri"/>
          <w:color w:val="525866"/>
          <w:sz w:val="22"/>
        </w:rPr>
        <w:t>Full-year guidance suspended due to fuel uncertainty — a contrast to UAL’s decision to maintain (albeit wide) guidance, reflecting UAL’s stronger balance sheet and more advanced fuel recovery trajectory.</w:t>
      </w:r>
    </w:p>
    <w:p>
      <w:r>
        <w:rPr>
          <w:rFonts w:ascii="Calibri" w:hAnsi="Calibri"/>
          <w:b/>
          <w:color w:val="525866"/>
          <w:sz w:val="22"/>
        </w:rPr>
        <w:t xml:space="preserve">Peer Read-Through Summary: </w:t>
      </w:r>
      <w:r>
        <w:rPr>
          <w:rFonts w:ascii="Calibri" w:hAnsi="Calibri"/>
          <w:color w:val="525866"/>
          <w:sz w:val="22"/>
        </w:rPr>
        <w:t>Across all five peers, the consistent themes are: (1) demand is resilient with no destruction from fare increases; (2) corporate travel is accelerating sharply; (3) premium cabins are outperforming; (4) fare increases are sticking industry-wide; and (5) fuel is the primary earnings swing factor. DAL’s Q2 actual fuel of $3.93/gallon vs. UAL’s $4.30 assumption is the single most important data point — if UAL’s fuel tracks similarly, it implies meaningful EPS upside vs. the guidance midpoint.</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The only open-market sales since Q1 earnings were by CEO Kirby (~49,381 shares via 10b5-1 plan in mid-June at ~$118–$120) and EVP Gebo (34,669 shares in late May at ~$115) — both appear to be pre-planned rather than discretionary; </w:t>
      </w:r>
      <w:r>
        <w:rPr>
          <w:rFonts w:ascii="Calibri" w:hAnsi="Calibri"/>
          <w:b/>
          <w:color w:val="525866"/>
          <w:sz w:val="22"/>
        </w:rPr>
        <w:t>no insider has made an open-market purchase</w:t>
      </w:r>
      <w:r>
        <w:rPr>
          <w:rFonts w:ascii="Calibri" w:hAnsi="Calibri"/>
          <w:color w:val="525866"/>
          <w:sz w:val="22"/>
        </w:rPr>
        <w:t>, which is a neutral-to-slightly-negative signal, though 10b5-1 sales are not typically viewed as bearish.</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 Scott Kirby</w:t>
            </w:r>
          </w:p>
        </w:tc>
        <w:tc>
          <w:tcPr>
            <w:tcW w:type="dxa" w:w="1234"/>
          </w:tcPr>
          <w:p>
            <w:r>
              <w:rPr>
                <w:rFonts w:ascii="Calibri" w:hAnsi="Calibri"/>
                <w:sz w:val="22"/>
              </w:rPr>
              <w:t>CEO</w:t>
            </w:r>
          </w:p>
        </w:tc>
        <w:tc>
          <w:tcPr>
            <w:tcW w:type="dxa" w:w="1234"/>
          </w:tcPr>
          <w:p>
            <w:r>
              <w:rPr>
                <w:rFonts w:ascii="Calibri" w:hAnsi="Calibri"/>
                <w:sz w:val="22"/>
              </w:rPr>
              <w:t>10b5-1 Planned Sale</w:t>
            </w:r>
          </w:p>
        </w:tc>
        <w:tc>
          <w:tcPr>
            <w:tcW w:type="dxa" w:w="1234"/>
          </w:tcPr>
          <w:p>
            <w:r>
              <w:rPr>
                <w:rFonts w:ascii="Calibri" w:hAnsi="Calibri"/>
                <w:sz w:val="22"/>
              </w:rPr>
              <w:t>48,303 shares</w:t>
            </w:r>
          </w:p>
        </w:tc>
        <w:tc>
          <w:tcPr>
            <w:tcW w:type="dxa" w:w="1234"/>
          </w:tcPr>
          <w:p>
            <w:r>
              <w:rPr>
                <w:rFonts w:ascii="Calibri" w:hAnsi="Calibri"/>
                <w:sz w:val="22"/>
              </w:rPr>
              <w:t>~$5.7M</w:t>
            </w:r>
          </w:p>
        </w:tc>
        <w:tc>
          <w:tcPr>
            <w:tcW w:type="dxa" w:w="1234"/>
          </w:tcPr>
          <w:p>
            <w:r>
              <w:rPr>
                <w:rFonts w:ascii="Calibri" w:hAnsi="Calibri"/>
                <w:sz w:val="22"/>
              </w:rPr>
              <w:t>Jun 17, 2026</w:t>
            </w:r>
          </w:p>
        </w:tc>
        <w:tc>
          <w:tcPr>
            <w:tcW w:type="dxa" w:w="1234"/>
          </w:tcPr>
          <w:p>
            <w:r>
              <w:rPr>
                <w:rFonts w:ascii="Calibri" w:hAnsi="Calibri"/>
                <w:sz w:val="22"/>
              </w:rPr>
              <w:t>10b5-1 plan; executed Jun 15 at ~$118</w:t>
            </w:r>
          </w:p>
        </w:tc>
      </w:tr>
      <w:tr>
        <w:tc>
          <w:tcPr>
            <w:tcW w:type="dxa" w:w="1234"/>
          </w:tcPr>
          <w:p>
            <w:r>
              <w:rPr>
                <w:rFonts w:ascii="Calibri" w:hAnsi="Calibri"/>
                <w:sz w:val="22"/>
              </w:rPr>
              <w:t>J. Scott Kirby</w:t>
            </w:r>
          </w:p>
        </w:tc>
        <w:tc>
          <w:tcPr>
            <w:tcW w:type="dxa" w:w="1234"/>
          </w:tcPr>
          <w:p>
            <w:r>
              <w:rPr>
                <w:rFonts w:ascii="Calibri" w:hAnsi="Calibri"/>
                <w:sz w:val="22"/>
              </w:rPr>
              <w:t>CEO</w:t>
            </w:r>
          </w:p>
        </w:tc>
        <w:tc>
          <w:tcPr>
            <w:tcW w:type="dxa" w:w="1234"/>
          </w:tcPr>
          <w:p>
            <w:r>
              <w:rPr>
                <w:rFonts w:ascii="Calibri" w:hAnsi="Calibri"/>
                <w:sz w:val="22"/>
              </w:rPr>
              <w:t>10b5-1 Planned Sale</w:t>
            </w:r>
          </w:p>
        </w:tc>
        <w:tc>
          <w:tcPr>
            <w:tcW w:type="dxa" w:w="1234"/>
          </w:tcPr>
          <w:p>
            <w:r>
              <w:rPr>
                <w:rFonts w:ascii="Calibri" w:hAnsi="Calibri"/>
                <w:sz w:val="22"/>
              </w:rPr>
              <w:t>1,078 shares</w:t>
            </w:r>
          </w:p>
        </w:tc>
        <w:tc>
          <w:tcPr>
            <w:tcW w:type="dxa" w:w="1234"/>
          </w:tcPr>
          <w:p>
            <w:r>
              <w:rPr>
                <w:rFonts w:ascii="Calibri" w:hAnsi="Calibri"/>
                <w:sz w:val="22"/>
              </w:rPr>
              <w:t>~$128K</w:t>
            </w:r>
          </w:p>
        </w:tc>
        <w:tc>
          <w:tcPr>
            <w:tcW w:type="dxa" w:w="1234"/>
          </w:tcPr>
          <w:p>
            <w:r>
              <w:rPr>
                <w:rFonts w:ascii="Calibri" w:hAnsi="Calibri"/>
                <w:sz w:val="22"/>
              </w:rPr>
              <w:t>Jun 17, 2026</w:t>
            </w:r>
          </w:p>
        </w:tc>
        <w:tc>
          <w:tcPr>
            <w:tcW w:type="dxa" w:w="1234"/>
          </w:tcPr>
          <w:p>
            <w:r>
              <w:rPr>
                <w:rFonts w:ascii="Calibri" w:hAnsi="Calibri"/>
                <w:sz w:val="22"/>
              </w:rPr>
              <w:t>10b5-1 plan; executed Jun 16 at ~$119</w:t>
            </w:r>
          </w:p>
        </w:tc>
      </w:tr>
      <w:tr>
        <w:tc>
          <w:tcPr>
            <w:tcW w:type="dxa" w:w="1234"/>
          </w:tcPr>
          <w:p>
            <w:r>
              <w:rPr>
                <w:rFonts w:ascii="Calibri" w:hAnsi="Calibri"/>
                <w:sz w:val="22"/>
              </w:rPr>
              <w:t>Kate Gebo</w:t>
            </w:r>
          </w:p>
        </w:tc>
        <w:tc>
          <w:tcPr>
            <w:tcW w:type="dxa" w:w="1234"/>
          </w:tcPr>
          <w:p>
            <w:r>
              <w:rPr>
                <w:rFonts w:ascii="Calibri" w:hAnsi="Calibri"/>
                <w:sz w:val="22"/>
              </w:rPr>
              <w:t>EVP HR &amp; Labor Relations</w:t>
            </w:r>
          </w:p>
        </w:tc>
        <w:tc>
          <w:tcPr>
            <w:tcW w:type="dxa" w:w="1234"/>
          </w:tcPr>
          <w:p>
            <w:r>
              <w:rPr>
                <w:rFonts w:ascii="Calibri" w:hAnsi="Calibri"/>
                <w:sz w:val="22"/>
              </w:rPr>
              <w:t>Open Market Sale</w:t>
            </w:r>
          </w:p>
        </w:tc>
        <w:tc>
          <w:tcPr>
            <w:tcW w:type="dxa" w:w="1234"/>
          </w:tcPr>
          <w:p>
            <w:r>
              <w:rPr>
                <w:rFonts w:ascii="Calibri" w:hAnsi="Calibri"/>
                <w:sz w:val="22"/>
              </w:rPr>
              <w:t>34,669 shares</w:t>
            </w:r>
          </w:p>
        </w:tc>
        <w:tc>
          <w:tcPr>
            <w:tcW w:type="dxa" w:w="1234"/>
          </w:tcPr>
          <w:p>
            <w:r>
              <w:rPr>
                <w:rFonts w:ascii="Calibri" w:hAnsi="Calibri"/>
                <w:sz w:val="22"/>
              </w:rPr>
              <w:t>~$4.0M</w:t>
            </w:r>
          </w:p>
        </w:tc>
        <w:tc>
          <w:tcPr>
            <w:tcW w:type="dxa" w:w="1234"/>
          </w:tcPr>
          <w:p>
            <w:r>
              <w:rPr>
                <w:rFonts w:ascii="Calibri" w:hAnsi="Calibri"/>
                <w:sz w:val="22"/>
              </w:rPr>
              <w:t>May 28, 2026</w:t>
            </w:r>
          </w:p>
        </w:tc>
        <w:tc>
          <w:tcPr>
            <w:tcW w:type="dxa" w:w="1234"/>
          </w:tcPr>
          <w:p>
            <w:r>
              <w:rPr>
                <w:rFonts w:ascii="Calibri" w:hAnsi="Calibri"/>
                <w:sz w:val="22"/>
              </w:rPr>
              <w:t>Executed May 26 at ~$115; not flagged as 10b5-1</w:t>
            </w:r>
          </w:p>
        </w:tc>
      </w:tr>
      <w:tr>
        <w:tc>
          <w:tcPr>
            <w:tcW w:type="dxa" w:w="1234"/>
          </w:tcPr>
          <w:p>
            <w:r>
              <w:rPr>
                <w:rFonts w:ascii="Calibri" w:hAnsi="Calibri"/>
                <w:sz w:val="22"/>
              </w:rPr>
              <w:t>Andrew Nocella</w:t>
            </w:r>
          </w:p>
        </w:tc>
        <w:tc>
          <w:tcPr>
            <w:tcW w:type="dxa" w:w="1234"/>
          </w:tcPr>
          <w:p>
            <w:r>
              <w:rPr>
                <w:rFonts w:ascii="Calibri" w:hAnsi="Calibri"/>
                <w:sz w:val="22"/>
              </w:rPr>
              <w:t>EVP &amp; Chief Commercial Officer</w:t>
            </w:r>
          </w:p>
        </w:tc>
        <w:tc>
          <w:tcPr>
            <w:tcW w:type="dxa" w:w="1234"/>
          </w:tcPr>
          <w:p>
            <w:r>
              <w:rPr>
                <w:rFonts w:ascii="Calibri" w:hAnsi="Calibri"/>
                <w:sz w:val="22"/>
              </w:rPr>
              <w:t>Open Market Sale</w:t>
            </w:r>
          </w:p>
        </w:tc>
        <w:tc>
          <w:tcPr>
            <w:tcW w:type="dxa" w:w="1234"/>
          </w:tcPr>
          <w:p>
            <w:r>
              <w:rPr>
                <w:rFonts w:ascii="Calibri" w:hAnsi="Calibri"/>
                <w:sz w:val="22"/>
              </w:rPr>
              <w:t>7,000 shares</w:t>
            </w:r>
          </w:p>
        </w:tc>
        <w:tc>
          <w:tcPr>
            <w:tcW w:type="dxa" w:w="1234"/>
          </w:tcPr>
          <w:p>
            <w:r>
              <w:rPr>
                <w:rFonts w:ascii="Calibri" w:hAnsi="Calibri"/>
                <w:sz w:val="22"/>
              </w:rPr>
              <w:t>~$700K</w:t>
            </w:r>
          </w:p>
        </w:tc>
        <w:tc>
          <w:tcPr>
            <w:tcW w:type="dxa" w:w="1234"/>
          </w:tcPr>
          <w:p>
            <w:r>
              <w:rPr>
                <w:rFonts w:ascii="Calibri" w:hAnsi="Calibri"/>
                <w:sz w:val="22"/>
              </w:rPr>
              <w:t>May 5, 2026</w:t>
            </w:r>
          </w:p>
        </w:tc>
        <w:tc>
          <w:tcPr>
            <w:tcW w:type="dxa" w:w="1234"/>
          </w:tcPr>
          <w:p>
            <w:r>
              <w:rPr>
                <w:rFonts w:ascii="Calibri" w:hAnsi="Calibri"/>
                <w:sz w:val="22"/>
              </w:rPr>
              <w:t>Executed May 1 at ~$100; before major rally</w:t>
            </w:r>
          </w:p>
        </w:tc>
      </w:tr>
      <w:tr>
        <w:tc>
          <w:tcPr>
            <w:tcW w:type="dxa" w:w="1234"/>
          </w:tcPr>
          <w:p>
            <w:r>
              <w:rPr>
                <w:rFonts w:ascii="Calibri" w:hAnsi="Calibri"/>
                <w:sz w:val="22"/>
              </w:rPr>
              <w:t>Multiple Directors</w:t>
            </w:r>
          </w:p>
        </w:tc>
        <w:tc>
          <w:tcPr>
            <w:tcW w:type="dxa" w:w="1234"/>
          </w:tcPr>
          <w:p>
            <w:r>
              <w:rPr>
                <w:rFonts w:ascii="Calibri" w:hAnsi="Calibri"/>
                <w:sz w:val="22"/>
              </w:rPr>
              <w:t>Board of Directors</w:t>
            </w:r>
          </w:p>
        </w:tc>
        <w:tc>
          <w:tcPr>
            <w:tcW w:type="dxa" w:w="1234"/>
          </w:tcPr>
          <w:p>
            <w:r>
              <w:rPr>
                <w:rFonts w:ascii="Calibri" w:hAnsi="Calibri"/>
                <w:sz w:val="22"/>
              </w:rPr>
              <w:t>Share Unit Award (Compensation)</w:t>
            </w:r>
          </w:p>
        </w:tc>
        <w:tc>
          <w:tcPr>
            <w:tcW w:type="dxa" w:w="1234"/>
          </w:tcPr>
          <w:p>
            <w:r>
              <w:rPr>
                <w:rFonts w:ascii="Calibri" w:hAnsi="Calibri"/>
                <w:sz w:val="22"/>
              </w:rPr>
              <w:t>Various</w:t>
            </w:r>
          </w:p>
        </w:tc>
        <w:tc>
          <w:tcPr>
            <w:tcW w:type="dxa" w:w="1234"/>
          </w:tcPr>
          <w:p>
            <w:r>
              <w:rPr>
                <w:rFonts w:ascii="Calibri" w:hAnsi="Calibri"/>
                <w:sz w:val="22"/>
              </w:rPr>
              <w:t>N/A</w:t>
            </w:r>
          </w:p>
        </w:tc>
        <w:tc>
          <w:tcPr>
            <w:tcW w:type="dxa" w:w="1234"/>
          </w:tcPr>
          <w:p>
            <w:r>
              <w:rPr>
                <w:rFonts w:ascii="Calibri" w:hAnsi="Calibri"/>
                <w:sz w:val="22"/>
              </w:rPr>
              <w:t>May 22 &amp; Jul 2, 2026</w:t>
            </w:r>
          </w:p>
        </w:tc>
        <w:tc>
          <w:tcPr>
            <w:tcW w:type="dxa" w:w="1234"/>
          </w:tcPr>
          <w:p>
            <w:r>
              <w:rPr>
                <w:rFonts w:ascii="Calibri" w:hAnsi="Calibri"/>
                <w:sz w:val="22"/>
              </w:rPr>
              <w:t>Routine annual compensation grants; not open-market purchases</w:t>
            </w:r>
          </w:p>
        </w:tc>
      </w:tr>
    </w:tbl>
    <w:p>
      <w:r>
        <w:rPr>
          <w:rFonts w:ascii="Calibri" w:hAnsi="Calibri"/>
          <w:b/>
          <w:color w:val="525866"/>
          <w:sz w:val="22"/>
        </w:rPr>
        <w:t xml:space="preserve">Note: </w:t>
      </w:r>
      <w:r>
        <w:rPr>
          <w:rFonts w:ascii="Calibri" w:hAnsi="Calibri"/>
          <w:color w:val="525866"/>
          <w:sz w:val="22"/>
        </w:rPr>
        <w:t xml:space="preserve">No open-market buys from any insider since Q1 earnings. CEO and EVP sales appear largely plan-driven (10b5-1). Nocella’s May 1 sale at ~$100 (before the stock’s major rally to $136) is notable in hindsight but small in size relative to his remaining holdings (~215,345 shares). Director share unit awards are routine annual compensation grants and should not be interpreted as open-market purchases. </w:t>
      </w:r>
      <w:r>
        <w:rPr>
          <w:rFonts w:ascii="Calibri" w:hAnsi="Calibri"/>
          <w:i/>
          <w:color w:val="525866"/>
          <w:sz w:val="22"/>
        </w:rPr>
        <w:t>Source: Insider Transaction Data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