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unh-earnings-predictions--2026-07-16"/>
    <w:p>
      <w:pPr>
        <w:pStyle w:val="Heading1"/>
      </w:pPr>
      <w:r>
        <w:t xml:space="preserve">UNH Earnings Predictions — 2026-07-16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UNH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~$4.92 vs. cons $4.84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UNH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Consolidated Medical Care Ratio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~88.0% MCR vs. cons 88.5% (lower = better)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UNH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~$111.0B vs. cons $110.7B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UNH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guide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18.50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18.40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UNH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full-year MCR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~87.5% vs. cons ~87.6%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UNH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MA medical cost trend vs pricing commentary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trend ~8% at/below repriced ~10% pricing vs. cons ~10%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UNH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Optum Health FY margin trajectory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~5% 2026 toward 6-8% LT vs. cons ~5% (FY2026/2027)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UNH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UNH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+2.0% (FADE)</w:t>
            </w:r>
          </w:p>
        </w:tc>
        <w:tc>
          <w:tcPr/>
          <w:p>
            <w:pPr>
              <w:pStyle w:val="Compact"/>
            </w:pPr>
            <w:r>
              <w:t xml:space="preserve">A guidance-implied H1 run-rate above the</w:t>
            </w:r>
            <w:r>
              <w:t xml:space="preserve"> </w:t>
            </w:r>
            <m:oMath>
              <m:r>
                <m:t>4.84</m:t>
              </m:r>
              <m:r>
                <m:t>S</m:t>
              </m:r>
              <m:r>
                <m:t>t</m:t>
              </m:r>
              <m:r>
                <m:t>r</m:t>
              </m:r>
              <m:r>
                <m:t>e</m:t>
              </m:r>
              <m:r>
                <m:t>e</m:t>
              </m:r>
              <m:r>
                <m:t>t</m:t>
              </m:r>
              <m:r>
                <m:t>b</m:t>
              </m:r>
              <m:r>
                <m:t>a</m:t>
              </m:r>
              <m:r>
                <m:t>r</m:t>
              </m:r>
              <m:r>
                <m:t>p</m:t>
              </m:r>
              <m:r>
                <m:t>l</m:t>
              </m:r>
              <m:r>
                <m:t>u</m:t>
              </m:r>
              <m:r>
                <m:t>s</m:t>
              </m:r>
              <m:r>
                <m:t>a</m:t>
              </m:r>
              <m:r>
                <m:t>m</m:t>
              </m:r>
              <m:r>
                <m:t>o</m:t>
              </m:r>
              <m:r>
                <m:t>d</m:t>
              </m:r>
              <m:r>
                <m:t>e</m:t>
              </m:r>
              <m:r>
                <m:t>s</m:t>
              </m:r>
              <m:r>
                <m:t>t</m:t>
              </m:r>
              <m:r>
                <m:t>i</m:t>
              </m:r>
              <m:r>
                <m:t>n</m:t>
              </m:r>
              <m:r>
                <m:t>t</m:t>
              </m:r>
              <m:r>
                <m:t>o</m:t>
              </m:r>
              <m:r>
                <m:rPr>
                  <m:sty m:val="p"/>
                </m:rPr>
                <m:t>−</m:t>
              </m:r>
              <m:r>
                <m:t>p</m:t>
              </m:r>
              <m:r>
                <m:t>r</m:t>
              </m:r>
              <m:r>
                <m:t>i</m:t>
              </m:r>
              <m:r>
                <m:t>n</m:t>
              </m:r>
              <m:r>
                <m:t>t</m:t>
              </m:r>
              <m:r>
                <m:t>p</m:t>
              </m:r>
              <m:r>
                <m:t>u</m:t>
              </m:r>
              <m:r>
                <m:t>l</m:t>
              </m:r>
              <m:r>
                <m:t>l</m:t>
              </m:r>
              <m:r>
                <m:t>b</m:t>
              </m:r>
              <m:r>
                <m:t>a</m:t>
              </m:r>
              <m:r>
                <m:t>c</m:t>
              </m:r>
              <m:r>
                <m:t>k</m:t>
              </m:r>
              <m:r>
                <m:rPr>
                  <m:sty m:val="p"/>
                </m:rPr>
                <m:t>(</m:t>
              </m:r>
              <m:r>
                <m:t>f</m:t>
              </m:r>
              <m:r>
                <m:t>r</m:t>
              </m:r>
              <m:r>
                <m:t>o</m:t>
              </m:r>
              <m:r>
                <m:t>m</m:t>
              </m:r>
              <m:r>
                <m:t> </m:t>
              </m:r>
            </m:oMath>
            <w:r>
              <w:t xml:space="preserve">431 to $418.56) tilt day-1 positive on a clean EPS/MCR beat and likely reaffirm-or-small-raise. But out-period math caps follow-through: management's own framework loads H2 MCR &gt;200bps above the midpoint and front-loads earnings (~2/3 in H1), so a Q2 beat mechanically implies a heavier, lower-margin back half — analysts trim H2 even as they nudge H1, keeping FY revisions muted. Add unquantified overhangs (DOJ/RADV, 2027 MA margin, Medicaid negative margins) and a stock up ~75% off the trough, and the initial pop partially gives back over the week.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2026-07-16T01:12:18Z</dcterms:created>
  <dcterms:modified xsi:type="dcterms:W3CDTF">2026-07-16T01:12:18Z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