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UNH thoroughly before writing the preview. Let me start by gathering recent filings, transcripts, and news.Let me read the most recent quarter's transcript and release, plus gather more context.I have strong detail on Q1 2026. Let me now get the stock price trajectory, recent news/analyst sentiment, and the year-ago Q2 2025 base for comparison.I now have a comprehensive picture. Let me write the earnings preview.</w:t>
      </w:r>
    </w:p>
    <w:bookmarkStart w:id="22" w:name="X7e6008dedf7e167a3f5ba1d9bb7290f7345a7d4"/>
    <w:p>
      <w:pPr>
        <w:pStyle w:val="Heading1"/>
      </w:pPr>
      <w:r>
        <w:t xml:space="preserve">UnitedHealth Group (UNH) — Q2 2026 Earnings Preview</w:t>
      </w:r>
    </w:p>
    <w:bookmarkStart w:id="9" w:name="Xc565bd129043194ef16bfbc66446f3c85e91cc0"/>
    <w:p>
      <w:pPr>
        <w:pStyle w:val="Heading3"/>
      </w:pPr>
      <w:r>
        <w:t xml:space="preserve">Reports Thursday, July 16, 2026 (before market open) | 2026Q2 Earnings Call</w:t>
      </w:r>
    </w:p>
    <w:p>
      <w:r>
        <w:pict>
          <v:rect style="width:0;height:1.5pt" o:hralign="center" o:hrstd="t" o:hr="t"/>
        </w:pict>
      </w:r>
    </w:p>
    <w:bookmarkEnd w:id="9"/>
    <w:bookmarkStart w:id="10" w:name="the-setup-a-turnaround-being-priced-in"/>
    <w:p>
      <w:pPr>
        <w:pStyle w:val="Heading2"/>
      </w:pPr>
      <w:r>
        <w:t xml:space="preserve">The Setup: A Turnaround Being Priced In</w:t>
      </w:r>
    </w:p>
    <w:p>
      <w:pPr>
        <w:pStyle w:val="FirstParagraph"/>
      </w:pPr>
      <w:r>
        <w:t xml:space="preserve">UNH heads into Q2 as one of the most closely-watched stories in large-cap healthcare — not because of growth, but because of a</w:t>
      </w:r>
      <w:r>
        <w:t xml:space="preserve"> </w:t>
      </w:r>
      <w:r>
        <w:rPr>
          <w:b/>
          <w:bCs/>
        </w:rPr>
        <w:t xml:space="preserve">credibility rebuild</w:t>
      </w:r>
      <w:r>
        <w:t xml:space="preserve">. The stock cratered from roughly</w:t>
      </w:r>
      <w:r>
        <w:t xml:space="preserve"> </w:t>
      </w:r>
      <m:oMath>
        <m:r>
          <m:t>600</m:t>
        </m:r>
        <m:r>
          <m:t>i</m:t>
        </m:r>
        <m:r>
          <m:t>n</m:t>
        </m:r>
        <m:r>
          <m:t>A</m:t>
        </m:r>
        <m:r>
          <m:t>p</m:t>
        </m:r>
        <m:r>
          <m:t>r</m:t>
        </m:r>
        <m:r>
          <m:t>i</m:t>
        </m:r>
        <m:r>
          <m:t>l</m:t>
        </m:r>
        <m:r>
          <m:t>2025</m:t>
        </m:r>
        <m:r>
          <m:t>t</m:t>
        </m:r>
        <m:r>
          <m:t>o</m:t>
        </m:r>
        <m:r>
          <m:t>a</m:t>
        </m:r>
        <m:r>
          <m:t>l</m:t>
        </m:r>
        <m:r>
          <m:t>o</m:t>
        </m:r>
        <m:r>
          <m:t>w</m:t>
        </m:r>
        <m:r>
          <m:t>n</m:t>
        </m:r>
        <m:r>
          <m:t>e</m:t>
        </m:r>
        <m:r>
          <m:t>a</m:t>
        </m:r>
        <m:r>
          <m:t>r</m:t>
        </m:r>
        <m:r>
          <m:rPr>
            <m:sty m:val="p"/>
          </m:rPr>
          <m:t>*</m:t>
        </m:r>
        <m:r>
          <m:rPr>
            <m:sty m:val="p"/>
          </m:rPr>
          <m:t>*</m:t>
        </m:r>
      </m:oMath>
      <w:r>
        <w:t xml:space="preserve">238 in August 2025** amid a Q1 2025 miss, the mid-2025 suspension of guidance, an abrupt CEO change (Stephen Hemsley returning to the helm), a reported DOJ investigation into Medicare practices, and a Q4 2025 that included a ~$3B Optum Health restructuring charge that pushed consolidated operating earnings to just $0.4B.</w:t>
      </w:r>
    </w:p>
    <w:p>
      <w:pPr>
        <w:pStyle w:val="BodyText"/>
      </w:pPr>
      <w:r>
        <w:t xml:space="preserve">Since then, shares have staged a substantial recovery, closing at</w:t>
      </w:r>
      <w:r>
        <w:t xml:space="preserve"> </w:t>
      </w:r>
      <m:oMath>
        <m:r>
          <m:t>418.56</m:t>
        </m:r>
        <m:r>
          <m:t>o</m:t>
        </m:r>
        <m:r>
          <m:t>n</m:t>
        </m:r>
        <m:r>
          <m:t>J</m:t>
        </m:r>
        <m:r>
          <m:t>u</m:t>
        </m:r>
        <m:r>
          <m:t>l</m:t>
        </m:r>
        <m:r>
          <m:t>y</m:t>
        </m:r>
        <m:r>
          <m:t>15</m:t>
        </m:r>
        <m:r>
          <m:rPr>
            <m:sty m:val="p"/>
          </m:rPr>
          <m:t>,</m:t>
        </m:r>
        <m:r>
          <m:t>2026</m:t>
        </m:r>
        <m:r>
          <m:rPr>
            <m:sty m:val="p"/>
          </m:rPr>
          <m:t>*</m:t>
        </m:r>
        <m:r>
          <m:rPr>
            <m:sty m:val="p"/>
          </m:rPr>
          <m:t>*</m:t>
        </m:r>
        <m:r>
          <m:rPr>
            <m:sty m:val="p"/>
          </m:rPr>
          <m:t>—</m:t>
        </m:r>
        <m:r>
          <m:t>u</m:t>
        </m:r>
        <m:r>
          <m:t>p</m:t>
        </m:r>
        <m:r>
          <m:t>r</m:t>
        </m:r>
        <m:r>
          <m:t>o</m:t>
        </m:r>
        <m:r>
          <m:t>u</m:t>
        </m:r>
        <m:r>
          <m:t>g</m:t>
        </m:r>
        <m:r>
          <m:t>h</m:t>
        </m:r>
        <m:r>
          <m:t>l</m:t>
        </m:r>
        <m:r>
          <m:t>y</m:t>
        </m:r>
        <m:r>
          <m:t>24</m:t>
        </m:r>
      </m:oMath>
      <w:r>
        <w:rPr>
          <w:b/>
          <w:bCs/>
        </w:rPr>
        <w:t xml:space="preserve">18.25</w:t>
      </w:r>
      <w:r>
        <w:t xml:space="preserve">. Q2 is the test of whether that momentum is durable.</w:t>
      </w:r>
    </w:p>
    <w:p>
      <w:r>
        <w:pict>
          <v:rect style="width:0;height:1.5pt" o:hralign="center" o:hrstd="t" o:hr="t"/>
        </w:pict>
      </w:r>
    </w:p>
    <w:bookmarkEnd w:id="10"/>
    <w:bookmarkStart w:id="11" w:name="consensus-expectations-q2-2026"/>
    <w:p>
      <w:pPr>
        <w:pStyle w:val="Heading2"/>
      </w:pPr>
      <w:r>
        <w:t xml:space="preserve">Consensus Expectations (Q2 2026)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Street Estimate</w:t>
            </w:r>
          </w:p>
        </w:tc>
        <w:tc>
          <w:tcPr/>
          <w:p>
            <w:pPr>
              <w:pStyle w:val="Compact"/>
            </w:pPr>
            <w:r>
              <w:t xml:space="preserve">Q2 2025 Actual</w:t>
            </w:r>
          </w:p>
        </w:tc>
        <w:tc>
          <w:tcPr/>
          <w:p>
            <w:pPr>
              <w:pStyle w:val="Compact"/>
            </w:pPr>
            <w:r>
              <w:t xml:space="preserve">Notes</w:t>
            </w:r>
          </w:p>
        </w:tc>
      </w:tr>
      <w:tr>
        <w:tc>
          <w:tcPr/>
          <w:p>
            <w:pPr>
              <w:pStyle w:val="Compact"/>
            </w:pPr>
            <w:r>
              <w:t xml:space="preserve">Adjusted EPS</w:t>
            </w:r>
          </w:p>
        </w:tc>
        <w:tc>
          <w:tcPr/>
          <w:p>
            <w:pPr>
              <w:pStyle w:val="Compact"/>
            </w:pPr>
            <w:r>
              <w:rPr>
                <w:b/>
                <w:bCs/>
              </w:rPr>
              <w:t xml:space="preserve">~$4.84</w:t>
            </w:r>
            <w:r>
              <w:t xml:space="preserve"> </w:t>
            </w:r>
            <w:r>
              <w:t xml:space="preserve">(+18.5% YoY)</w:t>
            </w:r>
          </w:p>
        </w:tc>
        <w:tc>
          <w:tcPr/>
          <w:p>
            <w:pPr>
              <w:pStyle w:val="Compact"/>
            </w:pPr>
            <w:r>
              <w:t xml:space="preserve">$4.08 (adj)</w:t>
            </w:r>
          </w:p>
        </w:tc>
        <w:tc>
          <w:tcPr/>
          <w:p>
            <w:pPr>
              <w:pStyle w:val="Compact"/>
            </w:pPr>
            <w:r>
              <w:t xml:space="preserve">vs GAAP $3.74 last year</w:t>
            </w:r>
          </w:p>
        </w:tc>
      </w:tr>
      <w:tr>
        <w:tc>
          <w:tcPr/>
          <w:p>
            <w:pPr>
              <w:pStyle w:val="Compact"/>
            </w:pPr>
            <w:r>
              <w:t xml:space="preserve">Total Revenue</w:t>
            </w:r>
          </w:p>
        </w:tc>
        <w:tc>
          <w:tcPr/>
          <w:p>
            <w:pPr>
              <w:pStyle w:val="Compact"/>
            </w:pPr>
            <w:r>
              <w:rPr>
                <w:b/>
                <w:bCs/>
              </w:rPr>
              <w:t xml:space="preserve">~$110.7B</w:t>
            </w:r>
            <w:r>
              <w:t xml:space="preserve"> </w:t>
            </w:r>
            <w:r>
              <w:t xml:space="preserve">(~flat)</w:t>
            </w:r>
          </w:p>
        </w:tc>
        <w:tc>
          <w:tcPr/>
          <w:p>
            <w:pPr>
              <w:pStyle w:val="Compact"/>
            </w:pPr>
            <w:r>
              <w:t xml:space="preserve">$111.6B</w:t>
            </w:r>
          </w:p>
        </w:tc>
        <w:tc>
          <w:tcPr/>
          <w:p>
            <w:pPr>
              <w:pStyle w:val="Compact"/>
            </w:pPr>
            <w:r>
              <w:t xml:space="preserve">Membership shedding offsets pricing</w:t>
            </w:r>
          </w:p>
        </w:tc>
      </w:tr>
      <w:tr>
        <w:tc>
          <w:tcPr/>
          <w:p>
            <w:pPr>
              <w:pStyle w:val="Compact"/>
            </w:pPr>
            <w:r>
              <w:t xml:space="preserve">Consolidated MCR</w:t>
            </w:r>
          </w:p>
        </w:tc>
        <w:tc>
          <w:tcPr/>
          <w:p>
            <w:pPr>
              <w:pStyle w:val="Compact"/>
            </w:pPr>
            <w:r>
              <w:rPr>
                <w:b/>
                <w:bCs/>
              </w:rPr>
              <w:t xml:space="preserve">~88.5%</w:t>
            </w:r>
          </w:p>
        </w:tc>
        <w:tc>
          <w:tcPr/>
          <w:p>
            <w:pPr>
              <w:pStyle w:val="Compact"/>
            </w:pPr>
            <w:r>
              <w:t xml:space="preserve">89.4%</w:t>
            </w:r>
          </w:p>
        </w:tc>
        <w:tc>
          <w:tcPr/>
          <w:p>
            <w:pPr>
              <w:pStyle w:val="Compact"/>
            </w:pPr>
            <w:r>
              <w:t xml:space="preserve">Improvement is the whole thesis</w:t>
            </w:r>
          </w:p>
        </w:tc>
      </w:tr>
    </w:tbl>
    <w:p>
      <w:pPr>
        <w:pStyle w:val="BodyText"/>
      </w:pPr>
      <w:r>
        <w:t xml:space="preserve">A key nuance: management guided to</w:t>
      </w:r>
      <w:r>
        <w:t xml:space="preserve"> </w:t>
      </w:r>
      <w:r>
        <w:rPr>
          <w:b/>
          <w:bCs/>
        </w:rPr>
        <w:t xml:space="preserve">~2/3 of full-year earnings landing in the first half</w:t>
      </w:r>
      <w:r>
        <w:t xml:space="preserve">. Against the &gt;</w:t>
      </w:r>
      <m:oMath>
        <m:r>
          <m:t>18.25</m:t>
        </m:r>
        <m:r>
          <m:t>f</m:t>
        </m:r>
        <m:r>
          <m:t>u</m:t>
        </m:r>
        <m:r>
          <m:t>l</m:t>
        </m:r>
        <m:r>
          <m:t>l</m:t>
        </m:r>
        <m:r>
          <m:rPr>
            <m:sty m:val="p"/>
          </m:rPr>
          <m:t>−</m:t>
        </m:r>
        <m:r>
          <m:t>y</m:t>
        </m:r>
        <m:r>
          <m:t>e</m:t>
        </m:r>
        <m:r>
          <m:t>a</m:t>
        </m:r>
        <m:r>
          <m:t>r</m:t>
        </m:r>
        <m:r>
          <m:t>a</m:t>
        </m:r>
        <m:r>
          <m:t>d</m:t>
        </m:r>
        <m:r>
          <m:t>j</m:t>
        </m:r>
        <m:r>
          <m:t>u</m:t>
        </m:r>
        <m:r>
          <m:t>s</m:t>
        </m:r>
        <m:r>
          <m:t>t</m:t>
        </m:r>
        <m:r>
          <m:t>e</m:t>
        </m:r>
        <m:r>
          <m:t>d</m:t>
        </m:r>
        <m:r>
          <m:t>g</m:t>
        </m:r>
        <m:r>
          <m:t>u</m:t>
        </m:r>
        <m:r>
          <m:t>i</m:t>
        </m:r>
        <m:r>
          <m:t>d</m:t>
        </m:r>
        <m:r>
          <m:t>e</m:t>
        </m:r>
        <m:r>
          <m:rPr>
            <m:sty m:val="p"/>
          </m:rPr>
          <m:t>,</m:t>
        </m:r>
        <m:r>
          <m:t>t</m:t>
        </m:r>
        <m:r>
          <m:t>h</m:t>
        </m:r>
        <m:r>
          <m:t>a</m:t>
        </m:r>
        <m:r>
          <m:t>t</m:t>
        </m:r>
        <m:r>
          <m:t>i</m:t>
        </m:r>
        <m:r>
          <m:t>m</m:t>
        </m:r>
        <m:r>
          <m:t>p</m:t>
        </m:r>
        <m:r>
          <m:t>l</m:t>
        </m:r>
        <m:r>
          <m:t>i</m:t>
        </m:r>
        <m:r>
          <m:t>e</m:t>
        </m:r>
        <m:r>
          <m:t>s</m:t>
        </m:r>
        <m:r>
          <m:t>r</m:t>
        </m:r>
        <m:r>
          <m:t>o</m:t>
        </m:r>
        <m:r>
          <m:t>u</m:t>
        </m:r>
        <m:r>
          <m:t>g</m:t>
        </m:r>
        <m:r>
          <m:t>h</m:t>
        </m:r>
        <m:r>
          <m:t>l</m:t>
        </m:r>
        <m:r>
          <m:t>y</m:t>
        </m:r>
        <m:r>
          <m:rPr>
            <m:sty m:val="p"/>
          </m:rPr>
          <m:t>*</m:t>
        </m:r>
        <m:r>
          <m:rPr>
            <m:sty m:val="p"/>
          </m:rPr>
          <m:t>*</m:t>
        </m:r>
      </m:oMath>
      <w:r>
        <w:t xml:space="preserve">12.2B / ~$12.17 of H1 adjusted EPS**, and with Q1 already at</w:t>
      </w:r>
      <w:r>
        <w:t xml:space="preserve"> </w:t>
      </w:r>
      <m:oMath>
        <m:r>
          <m:t>7.23</m:t>
        </m:r>
        <m:r>
          <m:rPr>
            <m:sty m:val="p"/>
          </m:rPr>
          <m:t>,</m:t>
        </m:r>
        <m:r>
          <m:t>a</m:t>
        </m:r>
        <m:r>
          <m:t>n</m:t>
        </m:r>
        <m:r>
          <m:rPr>
            <m:sty m:val="p"/>
          </m:rPr>
          <m:t>*</m:t>
        </m:r>
        <m:r>
          <m:t>i</m:t>
        </m:r>
        <m:r>
          <m:t>m</m:t>
        </m:r>
        <m:r>
          <m:t>p</m:t>
        </m:r>
        <m:r>
          <m:t>l</m:t>
        </m:r>
        <m:r>
          <m:t>i</m:t>
        </m:r>
        <m:r>
          <m:t>e</m:t>
        </m:r>
        <m:r>
          <m:t>d</m:t>
        </m:r>
        <m:r>
          <m:rPr>
            <m:sty m:val="p"/>
          </m:rPr>
          <m:t>*</m:t>
        </m:r>
        <m:r>
          <m:t>Q</m:t>
        </m:r>
        <m:r>
          <m:t>2</m:t>
        </m:r>
        <m:r>
          <m:t>o</m:t>
        </m:r>
        <m:r>
          <m:t>f</m:t>
        </m:r>
        <m:r>
          <m:t> </m:t>
        </m:r>
        <m:r>
          <m:rPr>
            <m:sty m:val="p"/>
          </m:rPr>
          <m:t>*</m:t>
        </m:r>
        <m:r>
          <m:rPr>
            <m:sty m:val="p"/>
          </m:rPr>
          <m:t>*</m:t>
        </m:r>
      </m:oMath>
      <w:r>
        <w:t xml:space="preserve">4.90–$4.95**. Consensus at $4.84 sits modestly</w:t>
      </w:r>
      <w:r>
        <w:t xml:space="preserve"> </w:t>
      </w:r>
      <w:r>
        <w:rPr>
          <w:i/>
          <w:iCs/>
        </w:rPr>
        <w:t xml:space="preserve">below</w:t>
      </w:r>
      <w:r>
        <w:t xml:space="preserve"> </w:t>
      </w:r>
      <w:r>
        <w:t xml:space="preserve">the guidance-implied run-rate — setting a beatable bar if trend behaves.</w:t>
      </w:r>
    </w:p>
    <w:p>
      <w:r>
        <w:pict>
          <v:rect style="width:0;height:1.5pt" o:hralign="center" o:hrstd="t" o:hr="t"/>
        </w:pict>
      </w:r>
    </w:p>
    <w:bookmarkEnd w:id="11"/>
    <w:bookmarkStart w:id="18" w:name="what-matters-most"/>
    <w:p>
      <w:pPr>
        <w:pStyle w:val="Heading2"/>
      </w:pPr>
      <w:r>
        <w:t xml:space="preserve">What Matters Most</w:t>
      </w:r>
    </w:p>
    <w:bookmarkStart w:id="12" w:name="X4e4be020d50447564282968564417be96e21206"/>
    <w:p>
      <w:pPr>
        <w:pStyle w:val="Heading3"/>
      </w:pPr>
      <w:r>
        <w:t xml:space="preserve">1. Medical cost trend — is the pricing/trend gap really closing?</w:t>
      </w:r>
    </w:p>
    <w:p>
      <w:pPr>
        <w:pStyle w:val="FirstParagraph"/>
      </w:pPr>
      <w:r>
        <w:t xml:space="preserve">This is the crux. In 2025, medical trend ran</w:t>
      </w:r>
      <w:r>
        <w:t xml:space="preserve"> </w:t>
      </w:r>
      <w:r>
        <w:rPr>
          <w:i/>
          <w:iCs/>
        </w:rPr>
        <w:t xml:space="preserve">well ahead</w:t>
      </w:r>
      <w:r>
        <w:t xml:space="preserve"> </w:t>
      </w:r>
      <w:r>
        <w:t xml:space="preserve">of pricing (MA trend ~7.5% vs. ~5% pricing), which broke the model. For 2026, UNH repriced MA to a **~10% trend assumption**. On the Q1 call, management said utilization remained at 2025's elevated-but-stable levels with "</w:t>
      </w:r>
      <w:r>
        <w:rPr>
          <w:b/>
          <w:bCs/>
        </w:rPr>
        <w:t xml:space="preserve">modest favorability in government programs</w:t>
      </w:r>
      <w:r>
        <w:t xml:space="preserve">" and no inflection. The critical message investors want in Q2: is trend still tracking</w:t>
      </w:r>
      <w:r>
        <w:t xml:space="preserve"> </w:t>
      </w:r>
      <w:r>
        <w:rPr>
          <w:i/>
          <w:iCs/>
        </w:rPr>
        <w:t xml:space="preserve">at or below</w:t>
      </w:r>
      <w:r>
        <w:t xml:space="preserve"> </w:t>
      </w:r>
      <w:r>
        <w:t xml:space="preserve">pricing? Management flagged Q2 as "</w:t>
      </w:r>
      <w:r>
        <w:rPr>
          <w:b/>
          <w:bCs/>
        </w:rPr>
        <w:t xml:space="preserve">usually quite informative</w:t>
      </w:r>
      <w:r>
        <w:t xml:space="preserve">" for the full-year read — so this print carries more signal than most.</w:t>
      </w:r>
    </w:p>
    <w:bookmarkEnd w:id="12"/>
    <w:bookmarkStart w:id="13" w:name="X3e0d119e3bfa7d22d9966d8f57279cc2d9564d8"/>
    <w:p>
      <w:pPr>
        <w:pStyle w:val="Heading3"/>
      </w:pPr>
      <w:r>
        <w:t xml:space="preserve">2. The MCR seasonality trap</w:t>
      </w:r>
    </w:p>
    <w:p>
      <w:pPr>
        <w:pStyle w:val="FirstParagraph"/>
      </w:pPr>
      <w:r>
        <w:t xml:space="preserve">Don't panic at a rising MCR. Management explicitly guided that</w:t>
      </w:r>
      <w:r>
        <w:t xml:space="preserve"> </w:t>
      </w:r>
      <w:r>
        <w:rPr>
          <w:b/>
          <w:bCs/>
        </w:rPr>
        <w:t xml:space="preserve">H1 MCR runs &gt;250bps below the full-year midpoint and H2 runs &gt;200bps above</w:t>
      </w:r>
      <w:r>
        <w:t xml:space="preserve">, driven by IRA-related Part D seasonality. So a jump from Q1's 83.9% to a Street-modeled ~88.5% in Q2 is</w:t>
      </w:r>
      <w:r>
        <w:t xml:space="preserve"> </w:t>
      </w:r>
      <w:r>
        <w:rPr>
          <w:i/>
          <w:iCs/>
        </w:rPr>
        <w:t xml:space="preserve">expected mechanics</w:t>
      </w:r>
      <w:r>
        <w:t xml:space="preserve">, not deterioration. The question is whether the reported number lands in-line/better and whether underlying trend commentary stays benign.</w:t>
      </w:r>
    </w:p>
    <w:bookmarkEnd w:id="13"/>
    <w:bookmarkStart w:id="14" w:name="X659c5dc3d486a4909ae692e4d8775e2d2592516"/>
    <w:p>
      <w:pPr>
        <w:pStyle w:val="Heading3"/>
      </w:pPr>
      <w:r>
        <w:t xml:space="preserve">3. Reserve prudence and quality of the beat</w:t>
      </w:r>
    </w:p>
    <w:p>
      <w:pPr>
        <w:pStyle w:val="FirstParagraph"/>
      </w:pPr>
      <w:r>
        <w:t xml:space="preserve">Q1's beat was partly driven by</w:t>
      </w:r>
      <w:r>
        <w:t xml:space="preserve"> </w:t>
      </w:r>
      <w:r>
        <w:rPr>
          <w:b/>
          <w:bCs/>
        </w:rPr>
        <w:t xml:space="preserve">~$500M+ of net favorable prior-year development</w:t>
      </w:r>
      <w:r>
        <w:t xml:space="preserve"> </w:t>
      </w:r>
      <w:r>
        <w:t xml:space="preserve">and management stressed they've kept a similarly</w:t>
      </w:r>
      <w:r>
        <w:t xml:space="preserve"> </w:t>
      </w:r>
      <w:r>
        <w:rPr>
          <w:i/>
          <w:iCs/>
        </w:rPr>
        <w:t xml:space="preserve">conservative</w:t>
      </w:r>
      <w:r>
        <w:t xml:space="preserve"> </w:t>
      </w:r>
      <w:r>
        <w:t xml:space="preserve">reserve posture. Days claims payable rose to</w:t>
      </w:r>
      <w:r>
        <w:t xml:space="preserve"> </w:t>
      </w:r>
      <w:r>
        <w:rPr>
          <w:b/>
          <w:bCs/>
        </w:rPr>
        <w:t xml:space="preserve">48.6</w:t>
      </w:r>
      <w:r>
        <w:t xml:space="preserve"> </w:t>
      </w:r>
      <w:r>
        <w:t xml:space="preserve">in Q1 (from 45.5 a year earlier) — a sign of building conservatism. Watch DCP and reserve development in Q2 to judge whether the beat is "clean" (operational) versus reserve-driven. A high-quality beat with maintained prudence is the bull case.</w:t>
      </w:r>
    </w:p>
    <w:bookmarkEnd w:id="14"/>
    <w:bookmarkStart w:id="15" w:name="X8731626231b3c545db7277574daf313eb487777"/>
    <w:p>
      <w:pPr>
        <w:pStyle w:val="Heading3"/>
      </w:pPr>
      <w:r>
        <w:t xml:space="preserve">4. Optum Health margin recovery</w:t>
      </w:r>
    </w:p>
    <w:p>
      <w:pPr>
        <w:pStyle w:val="FirstParagraph"/>
      </w:pPr>
      <w:r>
        <w:t xml:space="preserve">The epicenter of 2025's damage. Q1 2026 delivered</w:t>
      </w:r>
      <w:r>
        <w:t xml:space="preserve"> </w:t>
      </w:r>
      <m:oMath>
        <m:r>
          <m:t>1.3</m:t>
        </m:r>
        <m:r>
          <m:t>B</m:t>
        </m:r>
        <m:r>
          <m:t>a</m:t>
        </m:r>
        <m:r>
          <m:t>d</m:t>
        </m:r>
        <m:r>
          <m:t>j</m:t>
        </m:r>
        <m:r>
          <m:t>u</m:t>
        </m:r>
        <m:r>
          <m:t>s</m:t>
        </m:r>
        <m:r>
          <m:t>t</m:t>
        </m:r>
        <m:r>
          <m:t>e</m:t>
        </m:r>
        <m:r>
          <m:t>d</m:t>
        </m:r>
        <m:r>
          <m:t>o</m:t>
        </m:r>
        <m:r>
          <m:t>p</m:t>
        </m:r>
        <m:r>
          <m:t>e</m:t>
        </m:r>
        <m:r>
          <m:t>r</m:t>
        </m:r>
        <m:r>
          <m:t>a</m:t>
        </m:r>
        <m:r>
          <m:t>t</m:t>
        </m:r>
        <m:r>
          <m:t>i</m:t>
        </m:r>
        <m:r>
          <m:t>n</m:t>
        </m:r>
        <m:r>
          <m:t>g</m:t>
        </m:r>
        <m:r>
          <m:t>e</m:t>
        </m:r>
        <m:r>
          <m:t>a</m:t>
        </m:r>
        <m:r>
          <m:t>r</m:t>
        </m:r>
        <m:r>
          <m:t>n</m:t>
        </m:r>
        <m:r>
          <m:t>i</m:t>
        </m:r>
        <m:r>
          <m:t>n</m:t>
        </m:r>
        <m:r>
          <m:t>g</m:t>
        </m:r>
        <m:r>
          <m:t>s</m:t>
        </m:r>
        <m:r>
          <m:rPr>
            <m:sty m:val="p"/>
          </m:rPr>
          <m:t>*</m:t>
        </m:r>
        <m:r>
          <m:rPr>
            <m:sty m:val="p"/>
          </m:rPr>
          <m:t>*</m:t>
        </m:r>
        <m:r>
          <m:rPr>
            <m:sty m:val="p"/>
          </m:rPr>
          <m:t>(</m:t>
        </m:r>
        <m:r>
          <m:t>5.4</m:t>
        </m:r>
      </m:oMath>
      <w:r>
        <w:rPr>
          <w:b/>
          <w:bCs/>
        </w:rPr>
        <w:t xml:space="preserve">600M+ loss-contract (PDR) renegotiations/exits</w:t>
      </w:r>
      <w:r>
        <w:t xml:space="preserve">.</w:t>
      </w:r>
    </w:p>
    <w:bookmarkEnd w:id="15"/>
    <w:bookmarkStart w:id="16" w:name="X1a1b62ed1194ab098531ee524d610dbed200d16"/>
    <w:p>
      <w:pPr>
        <w:pStyle w:val="Heading3"/>
      </w:pPr>
      <w:r>
        <w:t xml:space="preserve">5. Guidance: reaffirm or raise again?</w:t>
      </w:r>
    </w:p>
    <w:p>
      <w:pPr>
        <w:pStyle w:val="FirstParagraph"/>
      </w:pPr>
      <w:r>
        <w:t xml:space="preserve">After raising to &gt;$18.25 adjusted in Q1, the market will scrutinize whether management</w:t>
      </w:r>
      <w:r>
        <w:t xml:space="preserve"> </w:t>
      </w:r>
      <w:r>
        <w:rPr>
          <w:b/>
          <w:bCs/>
        </w:rPr>
        <w:t xml:space="preserve">raises again, reaffirms, or signals conservatism</w:t>
      </w:r>
      <w:r>
        <w:t xml:space="preserve">. Given the deliberately "prudent" language in Q1, a reaffirm with beat-and-hold is the likely base case; another raise would be a strong positive surprise. Any hedging on H2 trend would be a red flag.</w:t>
      </w:r>
    </w:p>
    <w:bookmarkEnd w:id="16"/>
    <w:bookmarkStart w:id="17" w:name="X9c0b529205d2ea47e91a13db553c1e00afbe65e"/>
    <w:p>
      <w:pPr>
        <w:pStyle w:val="Heading3"/>
      </w:pPr>
      <w:r>
        <w:t xml:space="preserve">6. 2027 setup (Medicare Advantage &amp; Medicaid)</w:t>
      </w:r>
    </w:p>
    <w:p>
      <w:pPr>
        <w:pStyle w:val="Compact"/>
        <w:numPr>
          <w:ilvl w:val="0"/>
          <w:numId w:val="1001"/>
        </w:numPr>
      </w:pPr>
      <w:r>
        <w:rPr>
          <w:b/>
          <w:bCs/>
        </w:rPr>
        <w:t xml:space="preserve">MA 2027:</w:t>
      </w:r>
      <w:r>
        <w:t xml:space="preserve"> </w:t>
      </w:r>
      <w:r>
        <w:t xml:space="preserve">Management welcomed the final rate notice as better aligned with cost trends and is targeting the</w:t>
      </w:r>
      <w:r>
        <w:t xml:space="preserve"> </w:t>
      </w:r>
      <w:r>
        <w:rPr>
          <w:b/>
          <w:bCs/>
        </w:rPr>
        <w:t xml:space="preserve">upper half of the 2–4% long-term margin range</w:t>
      </w:r>
      <w:r>
        <w:t xml:space="preserve"> </w:t>
      </w:r>
      <w:r>
        <w:t xml:space="preserve">for 2027, while noting trend still runs above funding. Membership is being sacrificed for margin (MA seniors served fell ~965K in Q1; full-year attrition now centered on **~1.3M**).</w:t>
      </w:r>
    </w:p>
    <w:p>
      <w:pPr>
        <w:pStyle w:val="Compact"/>
        <w:numPr>
          <w:ilvl w:val="0"/>
          <w:numId w:val="1001"/>
        </w:numPr>
      </w:pPr>
      <w:r>
        <w:rPr>
          <w:b/>
          <w:bCs/>
        </w:rPr>
        <w:t xml:space="preserve">Medicaid (Community &amp; State):</w:t>
      </w:r>
      <w:r>
        <w:t xml:space="preserve"> </w:t>
      </w:r>
      <w:r>
        <w:t xml:space="preserve">Still expected to run</w:t>
      </w:r>
      <w:r>
        <w:t xml:space="preserve"> </w:t>
      </w:r>
      <w:r>
        <w:rPr>
          <w:b/>
          <w:bCs/>
        </w:rPr>
        <w:t xml:space="preserve">negative margins in 2026</w:t>
      </w:r>
      <w:r>
        <w:t xml:space="preserve"> </w:t>
      </w:r>
      <w:r>
        <w:t xml:space="preserve">on insufficient state rates and high acuity, with modest improvement beginning 2027. Watch for updates on open state rate negotiations.</w:t>
      </w:r>
    </w:p>
    <w:p>
      <w:r>
        <w:pict>
          <v:rect style="width:0;height:1.5pt" o:hralign="center" o:hrstd="t" o:hr="t"/>
        </w:pict>
      </w:r>
    </w:p>
    <w:bookmarkEnd w:id="17"/>
    <w:bookmarkEnd w:id="18"/>
    <w:bookmarkStart w:id="19" w:name="segment-watch-vs-q1-2026--q2-2025"/>
    <w:p>
      <w:pPr>
        <w:pStyle w:val="Heading2"/>
      </w:pPr>
      <w:r>
        <w:t xml:space="preserve">Segment Watch (vs. Q1 2026 / Q2 2025)</w:t>
      </w:r>
    </w:p>
    <w:p>
      <w:pPr>
        <w:pStyle w:val="Compact"/>
        <w:numPr>
          <w:ilvl w:val="0"/>
          <w:numId w:val="1002"/>
        </w:numPr>
      </w:pPr>
      <w:r>
        <w:rPr>
          <w:b/>
          <w:bCs/>
        </w:rPr>
        <w:t xml:space="preserve">UnitedHealthcare:</w:t>
      </w:r>
      <w:r>
        <w:t xml:space="preserve"> </w:t>
      </w:r>
      <w:r>
        <w:t xml:space="preserve">Q1 operating margin recovered to</w:t>
      </w:r>
      <w:r>
        <w:t xml:space="preserve"> </w:t>
      </w:r>
      <w:r>
        <w:rPr>
          <w:b/>
          <w:bCs/>
        </w:rPr>
        <w:t xml:space="preserve">6.6%</w:t>
      </w:r>
      <w:r>
        <w:t xml:space="preserve"> </w:t>
      </w:r>
      <w:r>
        <w:t xml:space="preserve">(from 6.2%). Recall Q2 2025 was the disaster quarter at just</w:t>
      </w:r>
      <w:r>
        <w:t xml:space="preserve"> </w:t>
      </w:r>
      <w:r>
        <w:rPr>
          <w:b/>
          <w:bCs/>
        </w:rPr>
        <w:t xml:space="preserve">2.4%</w:t>
      </w:r>
      <w:r>
        <w:t xml:space="preserve"> </w:t>
      </w:r>
      <w:r>
        <w:t xml:space="preserve">margin with a $620M individual-exchange charge — so the YoY comparison should look dramatically improved. Membership continues to shrink by design (49.05M medical members in Q1, down from 50.1M).</w:t>
      </w:r>
    </w:p>
    <w:p>
      <w:pPr>
        <w:pStyle w:val="Compact"/>
        <w:numPr>
          <w:ilvl w:val="0"/>
          <w:numId w:val="1002"/>
        </w:numPr>
      </w:pPr>
      <w:r>
        <w:rPr>
          <w:b/>
          <w:bCs/>
        </w:rPr>
        <w:t xml:space="preserve">Optum Rx:</w:t>
      </w:r>
      <w:r>
        <w:t xml:space="preserve"> </w:t>
      </w:r>
      <w:r>
        <w:t xml:space="preserve">Steady ($1.2B Q1 earnings); onboarded 800+ new clients but scripts down slightly on UHC attrition. Back-half weighted (~60% of earnings in H2). Watch PBM legislative/FTC commentary (Tennessee law, GPO — noted as U.S.-domiciled).</w:t>
      </w:r>
    </w:p>
    <w:p>
      <w:pPr>
        <w:pStyle w:val="Compact"/>
        <w:numPr>
          <w:ilvl w:val="0"/>
          <w:numId w:val="1002"/>
        </w:numPr>
      </w:pPr>
      <w:r>
        <w:rPr>
          <w:b/>
          <w:bCs/>
        </w:rPr>
        <w:t xml:space="preserve">Optum Insight:</w:t>
      </w:r>
      <w:r>
        <w:t xml:space="preserve"> </w:t>
      </w:r>
      <w:r>
        <w:t xml:space="preserve">In transition to "AI-first"; Q1 earnings dipped YoY on investment. Also back-half weighted. Alegeus acquisition (accretive 2027) and AI traction (Optum Real) are the narrative.</w:t>
      </w:r>
    </w:p>
    <w:p>
      <w:r>
        <w:pict>
          <v:rect style="width:0;height:1.5pt" o:hralign="center" o:hrstd="t" o:hr="t"/>
        </w:pict>
      </w:r>
    </w:p>
    <w:bookmarkEnd w:id="19"/>
    <w:bookmarkStart w:id="20" w:name="other-items-to-track"/>
    <w:p>
      <w:pPr>
        <w:pStyle w:val="Heading2"/>
      </w:pPr>
      <w:r>
        <w:t xml:space="preserve">Other Items to Track</w:t>
      </w:r>
    </w:p>
    <w:p>
      <w:pPr>
        <w:pStyle w:val="Compact"/>
        <w:numPr>
          <w:ilvl w:val="0"/>
          <w:numId w:val="1003"/>
        </w:numPr>
      </w:pPr>
      <w:r>
        <w:rPr>
          <w:b/>
          <w:bCs/>
        </w:rPr>
        <w:t xml:space="preserve">Capital return:</w:t>
      </w:r>
      <w:r>
        <w:t xml:space="preserve"> </w:t>
      </w:r>
      <w:r>
        <w:t xml:space="preserve">Buybacks resumed early — UNH committed to</w:t>
      </w:r>
      <w:r>
        <w:t xml:space="preserve"> </w:t>
      </w:r>
      <w:r>
        <w:rPr>
          <w:b/>
          <w:bCs/>
        </w:rPr>
        <w:t xml:space="preserve">≥$2B repurchased by end of Q2</w:t>
      </w:r>
      <w:r>
        <w:t xml:space="preserve">; watch for confirmation and pace, plus debt-to-capital progress toward the ~40% target (42.9% in Q1). Dividend was raised 5% to $2.21/quarter in mid-2025.</w:t>
      </w:r>
    </w:p>
    <w:p>
      <w:pPr>
        <w:pStyle w:val="Compact"/>
        <w:numPr>
          <w:ilvl w:val="0"/>
          <w:numId w:val="1003"/>
        </w:numPr>
      </w:pPr>
      <w:r>
        <w:rPr>
          <w:b/>
          <w:bCs/>
        </w:rPr>
        <w:t xml:space="preserve">AI investment:</w:t>
      </w:r>
      <w:r>
        <w:t xml:space="preserve"> </w:t>
      </w:r>
      <w:r>
        <w:t xml:space="preserve">~$1.5B planned for 2026; management targets ~2:1 returns but has declined to quantify margin upside — early days.</w:t>
      </w:r>
    </w:p>
    <w:p>
      <w:pPr>
        <w:pStyle w:val="Compact"/>
        <w:numPr>
          <w:ilvl w:val="0"/>
          <w:numId w:val="1003"/>
        </w:numPr>
      </w:pPr>
      <w:r>
        <w:rPr>
          <w:b/>
          <w:bCs/>
        </w:rPr>
        <w:t xml:space="preserve">Overhangs:</w:t>
      </w:r>
      <w:r>
        <w:t xml:space="preserve"> </w:t>
      </w:r>
      <w:r>
        <w:t xml:space="preserve">The</w:t>
      </w:r>
      <w:r>
        <w:t xml:space="preserve"> </w:t>
      </w:r>
      <w:r>
        <w:rPr>
          <w:b/>
          <w:bCs/>
        </w:rPr>
        <w:t xml:space="preserve">DOJ Medicare investigation</w:t>
      </w:r>
      <w:r>
        <w:t xml:space="preserve">, risk-adjustment/RADV audit exposure, potential 2028 MA risk-model recalibration (disproportionate risk for polychronic VBC populations), and litigation remain unquantified tail risks explicitly cited in filings.</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The bar is set for</w:t>
      </w:r>
      <w:r>
        <w:t xml:space="preserve"> </w:t>
      </w:r>
      <w:r>
        <w:rPr>
          <w:b/>
          <w:bCs/>
        </w:rPr>
        <w:t xml:space="preserve">~</w:t>
      </w:r>
      <m:oMath>
        <m:r>
          <m:t>4.84</m:t>
        </m:r>
        <m:r>
          <m:t>E</m:t>
        </m:r>
        <m:r>
          <m:t>P</m:t>
        </m:r>
        <m:r>
          <m:t>S</m:t>
        </m:r>
        <m:r>
          <m:t>o</m:t>
        </m:r>
        <m:r>
          <m:t>n</m:t>
        </m:r>
        <m:r>
          <m:t> </m:t>
        </m:r>
      </m:oMath>
      <w:r>
        <w:rPr>
          <w:b/>
          <w:bCs/>
        </w:rPr>
        <w:t xml:space="preserve">110.7B revenue with an ~88.5% MCR</w:t>
      </w:r>
      <w:r>
        <w:t xml:space="preserve"> </w:t>
      </w:r>
      <w:r>
        <w:t xml:space="preserve">— a bar that sits slightly below the company's own guidance-implied run-rate, making a beat plausible if trend cooperates. But after two consecutive beat-and-raise quarters and a ~75% rally off the lows, expectations have re-rated meaningfully, so the reaction hinges less on the headline and more on</w:t>
      </w:r>
      <w:r>
        <w:t xml:space="preserve"> </w:t>
      </w:r>
      <w:r>
        <w:rPr>
          <w:b/>
          <w:bCs/>
        </w:rPr>
        <w:t xml:space="preserve">quality</w:t>
      </w:r>
      <w:r>
        <w:t xml:space="preserve">:</w:t>
      </w:r>
    </w:p>
    <w:p>
      <w:pPr>
        <w:pStyle w:val="Compact"/>
        <w:numPr>
          <w:ilvl w:val="0"/>
          <w:numId w:val="1004"/>
        </w:numPr>
      </w:pPr>
      <w:r>
        <w:rPr>
          <w:b/>
          <w:bCs/>
        </w:rPr>
        <w:t xml:space="preserve">Bullish outcome:</w:t>
      </w:r>
      <w:r>
        <w:t xml:space="preserve"> </w:t>
      </w:r>
      <w:r>
        <w:t xml:space="preserve">In-line/beat MCR, benign underlying trend commentary (pricing ≥ trend), maintained reserve prudence, another Optum Health step-up, and a reaffirmed-or-raised &gt;$18.25 guide.</w:t>
      </w:r>
    </w:p>
    <w:p>
      <w:pPr>
        <w:pStyle w:val="Compact"/>
        <w:numPr>
          <w:ilvl w:val="0"/>
          <w:numId w:val="1004"/>
        </w:numPr>
      </w:pPr>
      <w:r>
        <w:rPr>
          <w:b/>
          <w:bCs/>
        </w:rPr>
        <w:t xml:space="preserve">Bearish outcome:</w:t>
      </w:r>
      <w:r>
        <w:t xml:space="preserve"> </w:t>
      </w:r>
      <w:r>
        <w:t xml:space="preserve">A beat driven mostly by reserve releases, any hint that trend is re-accelerating above the ~10% MA pricing assumption, softer H2 guidance, or slippage in the Optum Health/Medicaid recovery timeline.</w:t>
      </w:r>
    </w:p>
    <w:p>
      <w:pPr>
        <w:pStyle w:val="FirstParagraph"/>
      </w:pPr>
      <w:r>
        <w:t xml:space="preserve">Given Q2 is historically the most informative read on the full year — and management has flagged it as such — this print is likely the single most important checkpoint for validating (or puncturing) the turnaround narrative that has driven the stock's 2026 recovery.</w:t>
      </w:r>
    </w:p>
    <w:p>
      <w:pPr>
        <w:pStyle w:val="BodyText"/>
      </w:pPr>
      <w:r>
        <w:rPr>
          <w:i/>
          <w:iCs/>
        </w:rPr>
        <w:t xml:space="preserve">Note: All figures are drawn from UNH's Q1 2026 and Q2 2025 earnings releases/calls and market data through July 15, 2026; consensus figures are as reported in pre-earnings news coverage and are approximate.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2026-07-16T01:12:18Z</dcterms:created>
  <dcterms:modified xsi:type="dcterms:W3CDTF">2026-07-16T01:12:18Z</dcterms:modified>
</cp:coreProperties>
</file>

<file path=docProps/custom.xml><?xml version="1.0" encoding="utf-8"?>
<Properties xmlns="http://schemas.openxmlformats.org/officeDocument/2006/custom-properties" xmlns:vt="http://schemas.openxmlformats.org/officeDocument/2006/docPropsVTypes"/>
</file>