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82c3c8e06e78dfa4b252ae4a9cd94f09ec1262"/>
    <w:p>
      <w:pPr>
        <w:pStyle w:val="Heading1"/>
      </w:pPr>
      <w:r>
        <w:t xml:space="preserve">UnitedHealth Group Q2 2026 Earnings Preview</w:t>
      </w:r>
    </w:p>
    <w:p>
      <w:pPr>
        <w:pStyle w:val="BlockText"/>
      </w:pPr>
      <w:r>
        <w:rPr>
          <w:b/>
          <w:bCs/>
        </w:rPr>
        <w:t xml:space="preserve">Date note:</w:t>
      </w:r>
      <w:r>
        <w:t xml:space="preserve"> </w:t>
      </w:r>
      <w:r>
        <w:t xml:space="preserve">The supplied earnings date—</w:t>
      </w:r>
      <w:r>
        <w:rPr>
          <w:b/>
          <w:bCs/>
        </w:rPr>
        <w:t xml:space="preserve">Thursday, July 16, 2026</w:t>
      </w:r>
      <w:r>
        <w:t xml:space="preserve">—is today, not tomorrow. This preview is framed for immediately before the release and conference call.</w:t>
      </w:r>
    </w:p>
    <w:bookmarkStart w:id="9" w:name="the-setup"/>
    <w:p>
      <w:pPr>
        <w:pStyle w:val="Heading2"/>
      </w:pPr>
      <w:r>
        <w:t xml:space="preserve">The setup</w:t>
      </w:r>
    </w:p>
    <w:p>
      <w:pPr>
        <w:pStyle w:val="FirstParagraph"/>
      </w:pPr>
      <w:r>
        <w:t xml:space="preserve">UNH enters the quarter with considerably more optimism—and a much higher bar—than it faced three months ago. First-quarter results suggested that repricing, portfolio pruning and tighter operating discipline were beginning to stabilize UnitedHealthcare and Optum Health. Management subsequently said favorable trends continued through April.</w:t>
      </w:r>
    </w:p>
    <w:p>
      <w:pPr>
        <w:pStyle w:val="BodyText"/>
      </w:pPr>
      <w:r>
        <w:t xml:space="preserve">The stock closed at</w:t>
      </w:r>
      <w:r>
        <w:t xml:space="preserve"> </w:t>
      </w:r>
      <w:r>
        <w:rPr>
          <w:b/>
          <w:bCs/>
        </w:rPr>
        <w:t xml:space="preserve">$418.56 on July 15</w:t>
      </w:r>
      <w:r>
        <w:t xml:space="preserve">, up approximately</w:t>
      </w:r>
      <w:r>
        <w:t xml:space="preserve"> </w:t>
      </w:r>
      <w:r>
        <w:rPr>
          <w:b/>
          <w:bCs/>
        </w:rPr>
        <w:t xml:space="preserve">27% year to date</w:t>
      </w:r>
      <w:r>
        <w:t xml:space="preserve"> </w:t>
      </w:r>
      <w:r>
        <w:t xml:space="preserve">and</w:t>
      </w:r>
      <w:r>
        <w:t xml:space="preserve"> </w:t>
      </w:r>
      <w:r>
        <w:rPr>
          <w:b/>
          <w:bCs/>
        </w:rPr>
        <w:t xml:space="preserve">29% since immediately before the Q1 report</w:t>
      </w:r>
      <w:r>
        <w:t xml:space="preserve">. At that price, UNH trades at roughly</w:t>
      </w:r>
      <w:r>
        <w:t xml:space="preserve"> </w:t>
      </w:r>
      <w:r>
        <w:rPr>
          <w:b/>
          <w:bCs/>
        </w:rPr>
        <w:t xml:space="preserve">23 times the company’s full-year adjusted EPS floor of $18.25</w:t>
      </w:r>
      <w:r>
        <w:t xml:space="preserve">.</w:t>
      </w:r>
    </w:p>
    <w:p>
      <w:pPr>
        <w:pStyle w:val="BodyText"/>
      </w:pPr>
      <w:r>
        <w:t xml:space="preserve">This means a routine earnings beat may not be sufficient. Investors will want evidence that the Q1 improvement was durable, that medical-cost assumptions remain conservative and that management can raise guidance without relying heavily on favorable reserve development.</w:t>
      </w:r>
    </w:p>
    <w:bookmarkEnd w:id="9"/>
    <w:bookmarkStart w:id="10" w:name="key-expectations"/>
    <w:p>
      <w:pPr>
        <w:pStyle w:val="Heading2"/>
      </w:pPr>
      <w:r>
        <w:t xml:space="preserve">Key expectations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expectation</w:t>
            </w:r>
          </w:p>
        </w:tc>
      </w:tr>
      <w:tr>
        <w:tc>
          <w:tcPr/>
          <w:p>
            <w:pPr>
              <w:pStyle w:val="Compact"/>
            </w:pPr>
            <w:r>
              <w:t xml:space="preserve">Adjusted EPS</w:t>
            </w:r>
          </w:p>
        </w:tc>
        <w:tc>
          <w:tcPr/>
          <w:p>
            <w:pPr>
              <w:pStyle w:val="Compact"/>
              <w:jc w:val="right"/>
            </w:pPr>
            <w:r>
              <w:rPr>
                <w:b/>
                <w:bCs/>
              </w:rPr>
              <w:t xml:space="preserve">~$4.84</w:t>
            </w:r>
          </w:p>
        </w:tc>
      </w:tr>
      <w:tr>
        <w:tc>
          <w:tcPr/>
          <w:p>
            <w:pPr>
              <w:pStyle w:val="Compact"/>
            </w:pPr>
            <w:r>
              <w:t xml:space="preserve">Revenue</w:t>
            </w:r>
          </w:p>
        </w:tc>
        <w:tc>
          <w:tcPr/>
          <w:p>
            <w:pPr>
              <w:pStyle w:val="Compact"/>
              <w:jc w:val="right"/>
            </w:pPr>
            <w:r>
              <w:rPr>
                <w:b/>
                <w:bCs/>
              </w:rPr>
              <w:t xml:space="preserve">~$110.7 billion</w:t>
            </w:r>
          </w:p>
        </w:tc>
      </w:tr>
      <w:tr>
        <w:tc>
          <w:tcPr/>
          <w:p>
            <w:pPr>
              <w:pStyle w:val="Compact"/>
            </w:pPr>
            <w:r>
              <w:t xml:space="preserve">Medical care ratio</w:t>
            </w:r>
          </w:p>
        </w:tc>
        <w:tc>
          <w:tcPr/>
          <w:p>
            <w:pPr>
              <w:pStyle w:val="Compact"/>
              <w:jc w:val="right"/>
            </w:pPr>
            <w:r>
              <w:rPr>
                <w:b/>
                <w:bCs/>
              </w:rPr>
              <w:t xml:space="preserve">~88.5%</w:t>
            </w:r>
          </w:p>
        </w:tc>
      </w:tr>
      <w:tr>
        <w:tc>
          <w:tcPr/>
          <w:p>
            <w:pPr>
              <w:pStyle w:val="Compact"/>
            </w:pPr>
            <w:r>
              <w:t xml:space="preserve">Current FY2026 adjusted EPS outlook</w:t>
            </w:r>
          </w:p>
        </w:tc>
        <w:tc>
          <w:tcPr/>
          <w:p>
            <w:pPr>
              <w:pStyle w:val="Compact"/>
              <w:jc w:val="right"/>
            </w:pPr>
            <w:r>
              <w:rPr>
                <w:b/>
                <w:bCs/>
              </w:rPr>
              <w:t xml:space="preserve">Greater than $18.25</w:t>
            </w:r>
          </w:p>
        </w:tc>
      </w:tr>
    </w:tbl>
    <w:p>
      <w:pPr>
        <w:pStyle w:val="BodyText"/>
      </w:pPr>
      <w:r>
        <w:t xml:space="preserve">Consensus EPS implies growth of roughly</w:t>
      </w:r>
      <w:r>
        <w:t xml:space="preserve"> </w:t>
      </w:r>
      <w:r>
        <w:rPr>
          <w:b/>
          <w:bCs/>
        </w:rPr>
        <w:t xml:space="preserve">19% year over year</w:t>
      </w:r>
      <w:r>
        <w:t xml:space="preserve">, while revenue is expected to be approximately flat.</w:t>
      </w:r>
    </w:p>
    <w:p>
      <w:pPr>
        <w:pStyle w:val="BodyText"/>
      </w:pPr>
      <w:r>
        <w:t xml:space="preserve">The sharp sequential increase in the medical care ratio from</w:t>
      </w:r>
      <w:r>
        <w:t xml:space="preserve"> </w:t>
      </w:r>
      <w:r>
        <w:rPr>
          <w:b/>
          <w:bCs/>
        </w:rPr>
        <w:t xml:space="preserve">83.9% in Q1</w:t>
      </w:r>
      <w:r>
        <w:t xml:space="preserve"> </w:t>
      </w:r>
      <w:r>
        <w:t xml:space="preserve">should not, by itself, be interpreted as deterioration. Management has repeatedly emphasized that earnings and medical costs are unusually front-half weighted because of business mix and Medicare Part D seasonality. It expects approximately two-thirds of annual earnings in the first half, with materially higher medical-cost ratios in the second half.</w:t>
      </w:r>
    </w:p>
    <w:p>
      <w:pPr>
        <w:pStyle w:val="BodyText"/>
      </w:pPr>
      <w:r>
        <w:t xml:space="preserve">That cadence also implies Q2 adjusted EPS around the high-$4 range, broadly consistent with consensus.</w:t>
      </w:r>
    </w:p>
    <w:p>
      <w:r>
        <w:pict>
          <v:rect style="width:0;height:1.5pt" o:hralign="center" o:hrstd="t" o:hr="t"/>
        </w:pict>
      </w:r>
    </w:p>
    <w:bookmarkEnd w:id="10"/>
    <w:bookmarkStart w:id="12" w:name="Xe259c6277b29357fc1cc4f5be0991613895320b"/>
    <w:p>
      <w:pPr>
        <w:pStyle w:val="Heading2"/>
      </w:pPr>
      <w:r>
        <w:t xml:space="preserve">1. Medical costs are the central issue</w:t>
      </w:r>
    </w:p>
    <w:p>
      <w:pPr>
        <w:pStyle w:val="FirstParagraph"/>
      </w:pPr>
      <w:r>
        <w:t xml:space="preserve">The most important number in the report will probably be the</w:t>
      </w:r>
      <w:r>
        <w:t xml:space="preserve"> </w:t>
      </w:r>
      <w:r>
        <w:rPr>
          <w:b/>
          <w:bCs/>
        </w:rPr>
        <w:t xml:space="preserve">medical care ratio</w:t>
      </w:r>
      <w:r>
        <w:t xml:space="preserve">, but the commentary behind it will matter more than a few basis points of headline variance.</w:t>
      </w:r>
    </w:p>
    <w:p>
      <w:pPr>
        <w:pStyle w:val="BodyText"/>
      </w:pPr>
      <w:r>
        <w:t xml:space="preserve">Q1’s 83.9% ratio benefited from:</w:t>
      </w:r>
    </w:p>
    <w:p>
      <w:pPr>
        <w:pStyle w:val="Compact"/>
        <w:numPr>
          <w:ilvl w:val="0"/>
          <w:numId w:val="1001"/>
        </w:numPr>
      </w:pPr>
      <w:r>
        <w:t xml:space="preserve">Improved pricing relative to medical-cost trends.</w:t>
      </w:r>
    </w:p>
    <w:p>
      <w:pPr>
        <w:pStyle w:val="Compact"/>
        <w:numPr>
          <w:ilvl w:val="0"/>
          <w:numId w:val="1001"/>
        </w:numPr>
      </w:pPr>
      <w:r>
        <w:t xml:space="preserve">Modestly favorable government-program utilization.</w:t>
      </w:r>
    </w:p>
    <w:p>
      <w:pPr>
        <w:pStyle w:val="Compact"/>
        <w:numPr>
          <w:ilvl w:val="0"/>
          <w:numId w:val="1001"/>
        </w:numPr>
      </w:pPr>
      <w:r>
        <w:t xml:space="preserve">More than</w:t>
      </w:r>
      <w:r>
        <w:t xml:space="preserve"> </w:t>
      </w:r>
      <w:r>
        <w:rPr>
          <w:b/>
          <w:bCs/>
        </w:rPr>
        <w:t xml:space="preserve">$500 million of net favorable prior-period reserve development</w:t>
      </w:r>
      <w:r>
        <w:t xml:space="preserve">.</w:t>
      </w:r>
    </w:p>
    <w:p>
      <w:pPr>
        <w:pStyle w:val="Compact"/>
        <w:numPr>
          <w:ilvl w:val="0"/>
          <w:numId w:val="1001"/>
        </w:numPr>
      </w:pPr>
      <w:r>
        <w:t xml:space="preserve">Lower-than-expected respiratory activity.</w:t>
      </w:r>
    </w:p>
    <w:p>
      <w:pPr>
        <w:pStyle w:val="Compact"/>
        <w:numPr>
          <w:ilvl w:val="0"/>
          <w:numId w:val="1001"/>
        </w:numPr>
      </w:pPr>
      <w:r>
        <w:t xml:space="preserve">Membership and mix changes following exits from less attractive business.</w:t>
      </w:r>
    </w:p>
    <w:p>
      <w:pPr>
        <w:pStyle w:val="FirstParagraph"/>
      </w:pPr>
      <w:r>
        <w:t xml:space="preserve">At the May Bank of America conference, management said January through April had remained strong. Q2 is the more consequential test because claims from the first quarter have matured and management should have greater visibility into physician, outpatient, inpatient, pharmacy and supplemental-benefit utilization.</w:t>
      </w:r>
    </w:p>
    <w:bookmarkStart w:id="11" w:name="what-investors-need-to-hear"/>
    <w:p>
      <w:pPr>
        <w:pStyle w:val="Heading3"/>
      </w:pPr>
      <w:r>
        <w:t xml:space="preserve">What investors need to hear</w:t>
      </w:r>
    </w:p>
    <w:p>
      <w:pPr>
        <w:pStyle w:val="Compact"/>
        <w:numPr>
          <w:ilvl w:val="0"/>
          <w:numId w:val="1002"/>
        </w:numPr>
      </w:pPr>
      <w:r>
        <w:t xml:space="preserve">Medicare Advantage utilization remains near or below the company’s approximately</w:t>
      </w:r>
      <w:r>
        <w:t xml:space="preserve"> </w:t>
      </w:r>
      <w:r>
        <w:rPr>
          <w:b/>
          <w:bCs/>
        </w:rPr>
        <w:t xml:space="preserve">10% pricing assumption</w:t>
      </w:r>
      <w:r>
        <w:t xml:space="preserve">.</w:t>
      </w:r>
    </w:p>
    <w:p>
      <w:pPr>
        <w:pStyle w:val="Compact"/>
        <w:numPr>
          <w:ilvl w:val="0"/>
          <w:numId w:val="1002"/>
        </w:numPr>
      </w:pPr>
      <w:r>
        <w:t xml:space="preserve">There has been no late-quarter acceleration in inpatient admissions, outpatient procedures or physician service intensity.</w:t>
      </w:r>
    </w:p>
    <w:p>
      <w:pPr>
        <w:pStyle w:val="Compact"/>
        <w:numPr>
          <w:ilvl w:val="0"/>
          <w:numId w:val="1002"/>
        </w:numPr>
      </w:pPr>
      <w:r>
        <w:t xml:space="preserve">Commercial trend remains manageable relative to pricing; management previously referenced trend approaching</w:t>
      </w:r>
      <w:r>
        <w:t xml:space="preserve"> </w:t>
      </w:r>
      <w:r>
        <w:rPr>
          <w:b/>
          <w:bCs/>
        </w:rPr>
        <w:t xml:space="preserve">11%</w:t>
      </w:r>
      <w:r>
        <w:t xml:space="preserve">.</w:t>
      </w:r>
    </w:p>
    <w:p>
      <w:pPr>
        <w:pStyle w:val="Compact"/>
        <w:numPr>
          <w:ilvl w:val="0"/>
          <w:numId w:val="1002"/>
        </w:numPr>
      </w:pPr>
      <w:r>
        <w:t xml:space="preserve">Favorable reserve development is not masking weaker current-period results.</w:t>
      </w:r>
    </w:p>
    <w:p>
      <w:pPr>
        <w:pStyle w:val="Compact"/>
        <w:numPr>
          <w:ilvl w:val="0"/>
          <w:numId w:val="1002"/>
        </w:numPr>
      </w:pPr>
      <w:r>
        <w:t xml:space="preserve">The expected second-half MCR increase is seasonal and planned—not evidence that the turnaround is fading.</w:t>
      </w:r>
    </w:p>
    <w:p>
      <w:pPr>
        <w:pStyle w:val="FirstParagraph"/>
      </w:pPr>
      <w:r>
        <w:t xml:space="preserve">A small MCR beat accompanied by clean current-period utilization would be more valuable than a large beat driven mainly by reserve releases.</w:t>
      </w:r>
    </w:p>
    <w:p>
      <w:r>
        <w:pict>
          <v:rect style="width:0;height:1.5pt" o:hralign="center" o:hrstd="t" o:hr="t"/>
        </w:pict>
      </w:r>
    </w:p>
    <w:bookmarkEnd w:id="11"/>
    <w:bookmarkEnd w:id="12"/>
    <w:bookmarkStart w:id="14" w:name="Xc137fdbac1a9823b3af1ab9d521b8f95ba22238"/>
    <w:p>
      <w:pPr>
        <w:pStyle w:val="Heading2"/>
      </w:pPr>
      <w:r>
        <w:t xml:space="preserve">2. Guidance: another raise is likely expected</w:t>
      </w:r>
    </w:p>
    <w:p>
      <w:pPr>
        <w:pStyle w:val="FirstParagraph"/>
      </w:pPr>
      <w:r>
        <w:t xml:space="preserve">UNH raised its full-year adjusted EPS outlook after Q1 from</w:t>
      </w:r>
      <w:r>
        <w:t xml:space="preserve"> </w:t>
      </w:r>
      <w:r>
        <w:rPr>
          <w:b/>
          <w:bCs/>
        </w:rPr>
        <w:t xml:space="preserve">greater than $17.75</w:t>
      </w:r>
      <w:r>
        <w:t xml:space="preserve"> </w:t>
      </w:r>
      <w:r>
        <w:t xml:space="preserve">to</w:t>
      </w:r>
      <w:r>
        <w:t xml:space="preserve"> </w:t>
      </w:r>
      <w:r>
        <w:rPr>
          <w:b/>
          <w:bCs/>
        </w:rPr>
        <w:t xml:space="preserve">greater than $18.25</w:t>
      </w:r>
      <w:r>
        <w:t xml:space="preserve">. Given the strong first-quarter result and management’s constructive comments through April, investors are likely positioned for at least another modest increase.</w:t>
      </w:r>
    </w:p>
    <w:p>
      <w:pPr>
        <w:pStyle w:val="BodyText"/>
      </w:pPr>
      <w:r>
        <w:t xml:space="preserve">The more important distinction will be between:</w:t>
      </w:r>
    </w:p>
    <w:p>
      <w:pPr>
        <w:pStyle w:val="Compact"/>
        <w:numPr>
          <w:ilvl w:val="0"/>
          <w:numId w:val="1003"/>
        </w:numPr>
      </w:pPr>
      <w:r>
        <w:rPr>
          <w:b/>
          <w:bCs/>
        </w:rPr>
        <w:t xml:space="preserve">A higher floor reflecting Q2 earnings already realized</w:t>
      </w:r>
      <w:r>
        <w:t xml:space="preserve">, and</w:t>
      </w:r>
    </w:p>
    <w:p>
      <w:pPr>
        <w:pStyle w:val="Compact"/>
        <w:numPr>
          <w:ilvl w:val="0"/>
          <w:numId w:val="1003"/>
        </w:numPr>
      </w:pPr>
      <w:r>
        <w:rPr>
          <w:b/>
          <w:bCs/>
        </w:rPr>
        <w:t xml:space="preserve">A higher outlook reflecting improved expectations for the second half.</w:t>
      </w:r>
    </w:p>
    <w:p>
      <w:pPr>
        <w:pStyle w:val="FirstParagraph"/>
      </w:pPr>
      <w:r>
        <w:t xml:space="preserve">A mechanical raise that leaves the H2 forecast essentially unchanged may receive a muted response. A more meaningful positive signal would be management indicating that favorable medical-cost performance is durable and that the original full-year MCR assumption of</w:t>
      </w:r>
      <w:r>
        <w:t xml:space="preserve"> </w:t>
      </w:r>
      <w:r>
        <w:rPr>
          <w:b/>
          <w:bCs/>
        </w:rPr>
        <w:t xml:space="preserve">88.8%, plus or minus 50 basis points</w:t>
      </w:r>
      <w:r>
        <w:t xml:space="preserve">, now looks conservative.</w:t>
      </w:r>
    </w:p>
    <w:bookmarkStart w:id="13" w:name="guidance-details-to-watch"/>
    <w:p>
      <w:pPr>
        <w:pStyle w:val="Heading3"/>
      </w:pPr>
      <w:r>
        <w:t xml:space="preserve">Guidance details to watch</w:t>
      </w:r>
    </w:p>
    <w:p>
      <w:pPr>
        <w:pStyle w:val="Compact"/>
        <w:numPr>
          <w:ilvl w:val="0"/>
          <w:numId w:val="1004"/>
        </w:numPr>
      </w:pPr>
      <w:r>
        <w:t xml:space="preserve">Size of the adjusted EPS increase.</w:t>
      </w:r>
    </w:p>
    <w:p>
      <w:pPr>
        <w:pStyle w:val="Compact"/>
        <w:numPr>
          <w:ilvl w:val="0"/>
          <w:numId w:val="1004"/>
        </w:numPr>
      </w:pPr>
      <w:r>
        <w:t xml:space="preserve">Any change to the full-year MCR range.</w:t>
      </w:r>
    </w:p>
    <w:p>
      <w:pPr>
        <w:pStyle w:val="Compact"/>
        <w:numPr>
          <w:ilvl w:val="0"/>
          <w:numId w:val="1004"/>
        </w:numPr>
      </w:pPr>
      <w:r>
        <w:t xml:space="preserve">Whether operating cash flow remains at least</w:t>
      </w:r>
      <w:r>
        <w:t xml:space="preserve"> </w:t>
      </w:r>
      <w:r>
        <w:rPr>
          <w:b/>
          <w:bCs/>
        </w:rPr>
        <w:t xml:space="preserve">$18 billion</w:t>
      </w:r>
      <w:r>
        <w:t xml:space="preserve">.</w:t>
      </w:r>
    </w:p>
    <w:p>
      <w:pPr>
        <w:pStyle w:val="Compact"/>
        <w:numPr>
          <w:ilvl w:val="0"/>
          <w:numId w:val="1004"/>
        </w:numPr>
      </w:pPr>
      <w:r>
        <w:t xml:space="preserve">Progress toward approximately</w:t>
      </w:r>
      <w:r>
        <w:t xml:space="preserve"> </w:t>
      </w:r>
      <w:r>
        <w:rPr>
          <w:b/>
          <w:bCs/>
        </w:rPr>
        <w:t xml:space="preserve">40% debt-to-capital</w:t>
      </w:r>
      <w:r>
        <w:t xml:space="preserve"> </w:t>
      </w:r>
      <w:r>
        <w:t xml:space="preserve">in the second half.</w:t>
      </w:r>
    </w:p>
    <w:p>
      <w:pPr>
        <w:pStyle w:val="Compact"/>
        <w:numPr>
          <w:ilvl w:val="0"/>
          <w:numId w:val="1004"/>
        </w:numPr>
      </w:pPr>
      <w:r>
        <w:t xml:space="preserve">Updated assumptions for share repurchases.</w:t>
      </w:r>
    </w:p>
    <w:p>
      <w:pPr>
        <w:pStyle w:val="Compact"/>
        <w:numPr>
          <w:ilvl w:val="0"/>
          <w:numId w:val="1004"/>
        </w:numPr>
      </w:pPr>
      <w:r>
        <w:t xml:space="preserve">Whether the company still expects roughly one-third of annual earnings in H2.</w:t>
      </w:r>
    </w:p>
    <w:p>
      <w:r>
        <w:pict>
          <v:rect style="width:0;height:1.5pt" o:hralign="center" o:hrstd="t" o:hr="t"/>
        </w:pict>
      </w:r>
    </w:p>
    <w:bookmarkEnd w:id="13"/>
    <w:bookmarkEnd w:id="14"/>
    <w:bookmarkStart w:id="16" w:name="X8313ce96df953af75f9c80b574a9da477e689d8"/>
    <w:p>
      <w:pPr>
        <w:pStyle w:val="Heading2"/>
      </w:pPr>
      <w:r>
        <w:t xml:space="preserve">3. Optum Health must prove Q1 was repeatable</w:t>
      </w:r>
    </w:p>
    <w:p>
      <w:pPr>
        <w:pStyle w:val="FirstParagraph"/>
      </w:pPr>
      <w:r>
        <w:t xml:space="preserve">Optum Health was the most encouraging—and potentially least repeatable—part of Q1.</w:t>
      </w:r>
    </w:p>
    <w:p>
      <w:pPr>
        <w:pStyle w:val="BodyText"/>
      </w:pPr>
      <w:r>
        <w:t xml:space="preserve">The segment produced:</w:t>
      </w:r>
    </w:p>
    <w:p>
      <w:pPr>
        <w:pStyle w:val="Compact"/>
        <w:numPr>
          <w:ilvl w:val="0"/>
          <w:numId w:val="1005"/>
        </w:numPr>
      </w:pPr>
      <w:r>
        <w:rPr>
          <w:b/>
          <w:bCs/>
        </w:rPr>
        <w:t xml:space="preserve">$1.3 billion of adjusted operating earnings</w:t>
      </w:r>
      <w:r>
        <w:t xml:space="preserve">.</w:t>
      </w:r>
    </w:p>
    <w:p>
      <w:pPr>
        <w:pStyle w:val="Compact"/>
        <w:numPr>
          <w:ilvl w:val="0"/>
          <w:numId w:val="1005"/>
        </w:numPr>
      </w:pPr>
      <w:r>
        <w:t xml:space="preserve">A</w:t>
      </w:r>
      <w:r>
        <w:t xml:space="preserve"> </w:t>
      </w:r>
      <w:r>
        <w:rPr>
          <w:b/>
          <w:bCs/>
        </w:rPr>
        <w:t xml:space="preserve">5.4% adjusted margin</w:t>
      </w:r>
      <w:r>
        <w:t xml:space="preserve">.</w:t>
      </w:r>
    </w:p>
    <w:p>
      <w:pPr>
        <w:pStyle w:val="Compact"/>
        <w:numPr>
          <w:ilvl w:val="0"/>
          <w:numId w:val="1005"/>
        </w:numPr>
      </w:pPr>
      <w:r>
        <w:t xml:space="preserve">Better medical management and operating performance.</w:t>
      </w:r>
    </w:p>
    <w:p>
      <w:pPr>
        <w:pStyle w:val="Compact"/>
        <w:numPr>
          <w:ilvl w:val="0"/>
          <w:numId w:val="1005"/>
        </w:numPr>
      </w:pPr>
      <w:r>
        <w:t xml:space="preserve">Favorable prior-period development in markets where clinical interventions had been intensified.</w:t>
      </w:r>
    </w:p>
    <w:p>
      <w:pPr>
        <w:pStyle w:val="FirstParagraph"/>
      </w:pPr>
      <w:r>
        <w:t xml:space="preserve">That</w:t>
      </w:r>
      <w:r>
        <w:t xml:space="preserve"> </w:t>
      </w:r>
      <m:oMath>
        <m:r>
          <m:t>1.3</m:t>
        </m:r>
        <m:r>
          <m:t>b</m:t>
        </m:r>
        <m:r>
          <m:t>i</m:t>
        </m:r>
        <m:r>
          <m:t>l</m:t>
        </m:r>
        <m:r>
          <m:t>l</m:t>
        </m:r>
        <m:r>
          <m:t>i</m:t>
        </m:r>
        <m:r>
          <m:t>o</m:t>
        </m:r>
        <m:r>
          <m:t>n</m:t>
        </m:r>
        <m:r>
          <m:t>w</m:t>
        </m:r>
        <m:r>
          <m:t>a</m:t>
        </m:r>
        <m:r>
          <m:t>s</m:t>
        </m:r>
        <m:r>
          <m:t>u</m:t>
        </m:r>
        <m:r>
          <m:t>n</m:t>
        </m:r>
        <m:r>
          <m:t>u</m:t>
        </m:r>
        <m:r>
          <m:t>s</m:t>
        </m:r>
        <m:r>
          <m:t>u</m:t>
        </m:r>
        <m:r>
          <m:t>a</m:t>
        </m:r>
        <m:r>
          <m:t>l</m:t>
        </m:r>
        <m:r>
          <m:t>l</m:t>
        </m:r>
        <m:r>
          <m:t>y</m:t>
        </m:r>
        <m:r>
          <m:t>l</m:t>
        </m:r>
        <m:r>
          <m:t>a</m:t>
        </m:r>
        <m:r>
          <m:t>r</m:t>
        </m:r>
        <m:r>
          <m:t>g</m:t>
        </m:r>
        <m:r>
          <m:t>e</m:t>
        </m:r>
        <m:r>
          <m:t>r</m:t>
        </m:r>
        <m:r>
          <m:t>e</m:t>
        </m:r>
        <m:r>
          <m:t>l</m:t>
        </m:r>
        <m:r>
          <m:t>a</m:t>
        </m:r>
        <m:r>
          <m:t>t</m:t>
        </m:r>
        <m:r>
          <m:t>i</m:t>
        </m:r>
        <m:r>
          <m:t>v</m:t>
        </m:r>
        <m:r>
          <m:t>e</m:t>
        </m:r>
        <m:r>
          <m:t>t</m:t>
        </m:r>
        <m:r>
          <m:t>o</m:t>
        </m:r>
        <m:r>
          <m:t>m</m:t>
        </m:r>
        <m:r>
          <m:t>a</m:t>
        </m:r>
        <m:r>
          <m:t>n</m:t>
        </m:r>
        <m:r>
          <m:t>a</m:t>
        </m:r>
        <m:r>
          <m:t>g</m:t>
        </m:r>
        <m:r>
          <m:t>e</m:t>
        </m:r>
        <m:r>
          <m:t>m</m:t>
        </m:r>
        <m:r>
          <m:t>e</m:t>
        </m:r>
        <m:r>
          <m:t>n</m:t>
        </m:r>
        <m:r>
          <m:t>t</m:t>
        </m:r>
        <m:r>
          <m:rPr>
            <m:sty m:val="p"/>
          </m:rPr>
          <m:t>’</m:t>
        </m:r>
        <m:r>
          <m:t>s</m:t>
        </m:r>
        <m:r>
          <m:t>p</m:t>
        </m:r>
        <m:r>
          <m:t>r</m:t>
        </m:r>
        <m:r>
          <m:t>i</m:t>
        </m:r>
        <m:r>
          <m:t>o</m:t>
        </m:r>
        <m:r>
          <m:t>r</m:t>
        </m:r>
        <m:r>
          <m:t>f</m:t>
        </m:r>
        <m:r>
          <m:t>u</m:t>
        </m:r>
        <m:r>
          <m:t>l</m:t>
        </m:r>
        <m:r>
          <m:t>l</m:t>
        </m:r>
        <m:r>
          <m:rPr>
            <m:sty m:val="p"/>
          </m:rPr>
          <m:t>−</m:t>
        </m:r>
        <m:r>
          <m:t>y</m:t>
        </m:r>
        <m:r>
          <m:t>e</m:t>
        </m:r>
        <m:r>
          <m:t>a</m:t>
        </m:r>
        <m:r>
          <m:t>r</m:t>
        </m:r>
        <m:r>
          <m:t>a</m:t>
        </m:r>
        <m:r>
          <m:t>d</m:t>
        </m:r>
        <m:r>
          <m:t>j</m:t>
        </m:r>
        <m:r>
          <m:t>u</m:t>
        </m:r>
        <m:r>
          <m:t>s</m:t>
        </m:r>
        <m:r>
          <m:t>t</m:t>
        </m:r>
        <m:r>
          <m:t>e</m:t>
        </m:r>
        <m:r>
          <m:t>d</m:t>
        </m:r>
        <m:r>
          <m:t>e</m:t>
        </m:r>
        <m:r>
          <m:t>a</m:t>
        </m:r>
        <m:r>
          <m:t>r</m:t>
        </m:r>
        <m:r>
          <m:t>n</m:t>
        </m:r>
        <m:r>
          <m:t>i</m:t>
        </m:r>
        <m:r>
          <m:t>n</m:t>
        </m:r>
        <m:r>
          <m:t>g</m:t>
        </m:r>
        <m:r>
          <m:t>s</m:t>
        </m:r>
        <m:r>
          <m:t>f</m:t>
        </m:r>
        <m:r>
          <m:t>r</m:t>
        </m:r>
        <m:r>
          <m:t>a</m:t>
        </m:r>
        <m:r>
          <m:t>m</m:t>
        </m:r>
        <m:r>
          <m:t>e</m:t>
        </m:r>
        <m:r>
          <m:t>w</m:t>
        </m:r>
        <m:r>
          <m:t>o</m:t>
        </m:r>
        <m:r>
          <m:t>r</m:t>
        </m:r>
        <m:r>
          <m:t>k</m:t>
        </m:r>
        <m:r>
          <m:t>o</m:t>
        </m:r>
        <m:r>
          <m:t>f</m:t>
        </m:r>
        <m:r>
          <m:t>r</m:t>
        </m:r>
        <m:r>
          <m:t>o</m:t>
        </m:r>
        <m:r>
          <m:t>u</m:t>
        </m:r>
        <m:r>
          <m:t>g</m:t>
        </m:r>
        <m:r>
          <m:t>h</m:t>
        </m:r>
        <m:r>
          <m:t>l</m:t>
        </m:r>
        <m:r>
          <m:t>y</m:t>
        </m:r>
        <m:r>
          <m:rPr>
            <m:sty m:val="p"/>
          </m:rPr>
          <m:t>*</m:t>
        </m:r>
        <m:r>
          <m:rPr>
            <m:sty m:val="p"/>
          </m:rPr>
          <m:t>*</m:t>
        </m:r>
      </m:oMath>
      <w:r>
        <w:t xml:space="preserve">1.575 billion at the midpoint**. Management warned that the significant majority of Optum Health’s annual earnings would occur in the first half, so a major sequential decline is expected.</w:t>
      </w:r>
    </w:p>
    <w:p>
      <w:pPr>
        <w:pStyle w:val="BodyText"/>
      </w:pPr>
      <w:r>
        <w:t xml:space="preserve">The question is whether Q2 demonstrates a credible underlying earnings base after removing reserve development, contract-reserve movements and other adjustments.</w:t>
      </w:r>
    </w:p>
    <w:bookmarkStart w:id="15" w:name="Xe786c55f77fbcfa34cbb3d2fdd2768f91d707ee"/>
    <w:p>
      <w:pPr>
        <w:pStyle w:val="Heading3"/>
      </w:pPr>
      <w:r>
        <w:t xml:space="preserve">What would constitute a good Optum Health result?</w:t>
      </w:r>
    </w:p>
    <w:p>
      <w:pPr>
        <w:pStyle w:val="Compact"/>
        <w:numPr>
          <w:ilvl w:val="0"/>
          <w:numId w:val="1006"/>
        </w:numPr>
      </w:pPr>
      <w:r>
        <w:t xml:space="preserve">Continued improvement in inpatient and skilled-nursing utilization.</w:t>
      </w:r>
    </w:p>
    <w:p>
      <w:pPr>
        <w:pStyle w:val="Compact"/>
        <w:numPr>
          <w:ilvl w:val="0"/>
          <w:numId w:val="1006"/>
        </w:numPr>
      </w:pPr>
      <w:r>
        <w:t xml:space="preserve">Further productivity gains from scheduling and staffing changes.</w:t>
      </w:r>
    </w:p>
    <w:p>
      <w:pPr>
        <w:pStyle w:val="Compact"/>
        <w:numPr>
          <w:ilvl w:val="0"/>
          <w:numId w:val="1006"/>
        </w:numPr>
      </w:pPr>
      <w:r>
        <w:t xml:space="preserve">Evidence that Q1’s clinical improvements are spreading beyond a handful of markets.</w:t>
      </w:r>
    </w:p>
    <w:p>
      <w:pPr>
        <w:pStyle w:val="Compact"/>
        <w:numPr>
          <w:ilvl w:val="0"/>
          <w:numId w:val="1006"/>
        </w:numPr>
      </w:pPr>
      <w:r>
        <w:t xml:space="preserve">Progress renegotiating, de-delegating or exiting structurally unprofitable third-party contracts.</w:t>
      </w:r>
    </w:p>
    <w:p>
      <w:pPr>
        <w:pStyle w:val="Compact"/>
        <w:numPr>
          <w:ilvl w:val="0"/>
          <w:numId w:val="1006"/>
        </w:numPr>
      </w:pPr>
      <w:r>
        <w:t xml:space="preserve">Confidence in reaching the long-term</w:t>
      </w:r>
      <w:r>
        <w:t xml:space="preserve"> </w:t>
      </w:r>
      <w:r>
        <w:rPr>
          <w:b/>
          <w:bCs/>
        </w:rPr>
        <w:t xml:space="preserve">6%–8% margin target</w:t>
      </w:r>
      <w:r>
        <w:t xml:space="preserve">, with the low end targeted around 2028.</w:t>
      </w:r>
    </w:p>
    <w:p>
      <w:pPr>
        <w:pStyle w:val="Compact"/>
        <w:numPr>
          <w:ilvl w:val="0"/>
          <w:numId w:val="1006"/>
        </w:numPr>
      </w:pPr>
      <w:r>
        <w:t xml:space="preserve">A clearer 2027 earnings exit rate.</w:t>
      </w:r>
    </w:p>
    <w:p>
      <w:pPr>
        <w:pStyle w:val="FirstParagraph"/>
      </w:pPr>
      <w:r>
        <w:t xml:space="preserve">Optum Health is now one of the largest swing factors in the UNH investment case. Investors will be skeptical if most of the Q1 strength proves to have been reserve-related.</w:t>
      </w:r>
    </w:p>
    <w:p>
      <w:r>
        <w:pict>
          <v:rect style="width:0;height:1.5pt" o:hralign="center" o:hrstd="t" o:hr="t"/>
        </w:pict>
      </w:r>
    </w:p>
    <w:bookmarkEnd w:id="15"/>
    <w:bookmarkEnd w:id="16"/>
    <w:bookmarkStart w:id="18" w:name="X14b1c5efc51ce2135d274e3c2a8734a4952c1ce"/>
    <w:p>
      <w:pPr>
        <w:pStyle w:val="Heading2"/>
      </w:pPr>
      <w:r>
        <w:t xml:space="preserve">4. UnitedHealthcare: margin recovery versus membership contraction</w:t>
      </w:r>
    </w:p>
    <w:p>
      <w:pPr>
        <w:pStyle w:val="FirstParagraph"/>
      </w:pPr>
      <w:r>
        <w:t xml:space="preserve">UnitedHealthcare’s Q1 operating margin expanded 40 basis points to</w:t>
      </w:r>
      <w:r>
        <w:t xml:space="preserve"> </w:t>
      </w:r>
      <w:r>
        <w:rPr>
          <w:b/>
          <w:bCs/>
        </w:rPr>
        <w:t xml:space="preserve">6.6%</w:t>
      </w:r>
      <w:r>
        <w:t xml:space="preserve">, supported by repricing and deliberate membership reductions. Management has prioritized product stability and margin recovery over volume.</w:t>
      </w:r>
    </w:p>
    <w:p>
      <w:pPr>
        <w:pStyle w:val="BodyText"/>
      </w:pPr>
      <w:r>
        <w:t xml:space="preserve">Q2 should provide better visibility into whether that trade-off is working as planned.</w:t>
      </w:r>
    </w:p>
    <w:bookmarkStart w:id="17" w:name="membership-markers"/>
    <w:p>
      <w:pPr>
        <w:pStyle w:val="Heading3"/>
      </w:pPr>
      <w:r>
        <w:t xml:space="preserve">Membership markers</w:t>
      </w:r>
    </w:p>
    <w:p>
      <w:pPr>
        <w:pStyle w:val="FirstParagraph"/>
      </w:pPr>
      <w:r>
        <w:t xml:space="preserve">At the end of Q1:</w:t>
      </w:r>
    </w:p>
    <w:p>
      <w:pPr>
        <w:pStyle w:val="Compact"/>
        <w:numPr>
          <w:ilvl w:val="0"/>
          <w:numId w:val="1007"/>
        </w:numPr>
      </w:pPr>
      <w:r>
        <w:t xml:space="preserve">Total domestic medical membership was</w:t>
      </w:r>
      <w:r>
        <w:t xml:space="preserve"> </w:t>
      </w:r>
      <w:r>
        <w:rPr>
          <w:b/>
          <w:bCs/>
        </w:rPr>
        <w:t xml:space="preserve">49.1 million</w:t>
      </w:r>
      <w:r>
        <w:t xml:space="preserve">, down from 49.8 million at year-end.</w:t>
      </w:r>
    </w:p>
    <w:p>
      <w:pPr>
        <w:pStyle w:val="Compact"/>
        <w:numPr>
          <w:ilvl w:val="0"/>
          <w:numId w:val="1007"/>
        </w:numPr>
      </w:pPr>
      <w:r>
        <w:t xml:space="preserve">Medicare Advantage membership was</w:t>
      </w:r>
      <w:r>
        <w:t xml:space="preserve"> </w:t>
      </w:r>
      <w:r>
        <w:rPr>
          <w:b/>
          <w:bCs/>
        </w:rPr>
        <w:t xml:space="preserve">7.56 million</w:t>
      </w:r>
      <w:r>
        <w:t xml:space="preserve">, down 890,000 sequentially.</w:t>
      </w:r>
    </w:p>
    <w:p>
      <w:pPr>
        <w:pStyle w:val="Compact"/>
        <w:numPr>
          <w:ilvl w:val="0"/>
          <w:numId w:val="1007"/>
        </w:numPr>
      </w:pPr>
      <w:r>
        <w:t xml:space="preserve">Medicaid membership was</w:t>
      </w:r>
      <w:r>
        <w:t xml:space="preserve"> </w:t>
      </w:r>
      <w:r>
        <w:rPr>
          <w:b/>
          <w:bCs/>
        </w:rPr>
        <w:t xml:space="preserve">7.16 million</w:t>
      </w:r>
      <w:r>
        <w:t xml:space="preserve">, down 220,000.</w:t>
      </w:r>
    </w:p>
    <w:p>
      <w:pPr>
        <w:pStyle w:val="Compact"/>
        <w:numPr>
          <w:ilvl w:val="0"/>
          <w:numId w:val="1007"/>
        </w:numPr>
      </w:pPr>
      <w:r>
        <w:t xml:space="preserve">Commercial fee-based membership increased, partially offsetting declines in risk-based products.</w:t>
      </w:r>
    </w:p>
    <w:p>
      <w:pPr>
        <w:pStyle w:val="FirstParagraph"/>
      </w:pPr>
      <w:r>
        <w:t xml:space="preserve">Management expects Medicare Advantage membership to decline by approximately</w:t>
      </w:r>
      <w:r>
        <w:t xml:space="preserve"> </w:t>
      </w:r>
      <w:r>
        <w:rPr>
          <w:b/>
          <w:bCs/>
        </w:rPr>
        <w:t xml:space="preserve">1.3 million</w:t>
      </w:r>
      <w:r>
        <w:t xml:space="preserve"> </w:t>
      </w:r>
      <w:r>
        <w:t xml:space="preserve">during 2026. It also expects the ACA business to contract by roughly one-third, while pledging to refund any 2026 ACA profits.</w:t>
      </w:r>
    </w:p>
    <w:p>
      <w:pPr>
        <w:pStyle w:val="BodyText"/>
      </w:pPr>
      <w:r>
        <w:t xml:space="preserve">Investors should focus less on absolute enrollment and more on whether the remaining book is producing the expected margins without creating excessive pressure on Optum Rx and Optum Health volumes.</w:t>
      </w:r>
    </w:p>
    <w:p>
      <w:r>
        <w:pict>
          <v:rect style="width:0;height:1.5pt" o:hralign="center" o:hrstd="t" o:hr="t"/>
        </w:pict>
      </w:r>
    </w:p>
    <w:bookmarkEnd w:id="17"/>
    <w:bookmarkEnd w:id="18"/>
    <w:bookmarkStart w:id="19" w:name="Xc594734d8dc4569df2721ea286fe6f4451facee"/>
    <w:p>
      <w:pPr>
        <w:pStyle w:val="Heading2"/>
      </w:pPr>
      <w:r>
        <w:t xml:space="preserve">5. The 2027 Medicare Advantage outlook</w:t>
      </w:r>
    </w:p>
    <w:p>
      <w:pPr>
        <w:pStyle w:val="FirstParagraph"/>
      </w:pPr>
      <w:r>
        <w:t xml:space="preserve">Although the report covers Q2, commentary on the completed 2027 Medicare Advantage bid process could be one of the largest stock-moving items.</w:t>
      </w:r>
    </w:p>
    <w:p>
      <w:pPr>
        <w:pStyle w:val="BodyText"/>
      </w:pPr>
      <w:r>
        <w:t xml:space="preserve">Management’s stated aspiration is for 2027 MA margins to reach the</w:t>
      </w:r>
      <w:r>
        <w:t xml:space="preserve"> </w:t>
      </w:r>
      <w:r>
        <w:rPr>
          <w:b/>
          <w:bCs/>
        </w:rPr>
        <w:t xml:space="preserve">upper half of its 2%–4% long-term range</w:t>
      </w:r>
      <w:r>
        <w:t xml:space="preserve">. However, it has also said expected medical trends remain materially above government funding.</w:t>
      </w:r>
    </w:p>
    <w:p>
      <w:pPr>
        <w:pStyle w:val="BodyText"/>
      </w:pPr>
      <w:r>
        <w:t xml:space="preserve">Likely questions include:</w:t>
      </w:r>
    </w:p>
    <w:p>
      <w:pPr>
        <w:pStyle w:val="Compact"/>
        <w:numPr>
          <w:ilvl w:val="0"/>
          <w:numId w:val="1008"/>
        </w:numPr>
      </w:pPr>
      <w:r>
        <w:t xml:space="preserve">How much benefit reduction was required for 2027?</w:t>
      </w:r>
    </w:p>
    <w:p>
      <w:pPr>
        <w:pStyle w:val="Compact"/>
        <w:numPr>
          <w:ilvl w:val="0"/>
          <w:numId w:val="1008"/>
        </w:numPr>
      </w:pPr>
      <w:r>
        <w:t xml:space="preserve">Will UNH exit additional counties or products?</w:t>
      </w:r>
    </w:p>
    <w:p>
      <w:pPr>
        <w:pStyle w:val="Compact"/>
        <w:numPr>
          <w:ilvl w:val="0"/>
          <w:numId w:val="1008"/>
        </w:numPr>
      </w:pPr>
      <w:r>
        <w:t xml:space="preserve">Does management still expect margin expansion despite the rate/trend mismatch?</w:t>
      </w:r>
    </w:p>
    <w:p>
      <w:pPr>
        <w:pStyle w:val="Compact"/>
        <w:numPr>
          <w:ilvl w:val="0"/>
          <w:numId w:val="1008"/>
        </w:numPr>
      </w:pPr>
      <w:r>
        <w:t xml:space="preserve">How much further membership contraction should investors anticipate?</w:t>
      </w:r>
    </w:p>
    <w:p>
      <w:pPr>
        <w:pStyle w:val="Compact"/>
        <w:numPr>
          <w:ilvl w:val="0"/>
          <w:numId w:val="1008"/>
        </w:numPr>
      </w:pPr>
      <w:r>
        <w:t xml:space="preserve">Are 2027 bids sufficiently conservative if current utilization remains elevated?</w:t>
      </w:r>
    </w:p>
    <w:p>
      <w:pPr>
        <w:pStyle w:val="Compact"/>
        <w:numPr>
          <w:ilvl w:val="0"/>
          <w:numId w:val="1008"/>
        </w:numPr>
      </w:pPr>
      <w:r>
        <w:t xml:space="preserve">What are the implications for Optum Health’s value-based care contracts?</w:t>
      </w:r>
    </w:p>
    <w:p>
      <w:pPr>
        <w:pStyle w:val="FirstParagraph"/>
      </w:pPr>
      <w:r>
        <w:t xml:space="preserve">Constructive 2027 commentary could matter more than a modest Q2 EPS beat because it would support the thesis that UNH’s insurance earnings recovery extends beyond 2026.</w:t>
      </w:r>
    </w:p>
    <w:p>
      <w:r>
        <w:pict>
          <v:rect style="width:0;height:1.5pt" o:hralign="center" o:hrstd="t" o:hr="t"/>
        </w:pict>
      </w:r>
    </w:p>
    <w:bookmarkEnd w:id="19"/>
    <w:bookmarkStart w:id="20" w:name="X1148aafc7030fed8e46075d08fd23b2df96e02f"/>
    <w:p>
      <w:pPr>
        <w:pStyle w:val="Heading2"/>
      </w:pPr>
      <w:r>
        <w:t xml:space="preserve">6. Medicaid remains a potential drag</w:t>
      </w:r>
    </w:p>
    <w:p>
      <w:pPr>
        <w:pStyle w:val="FirstParagraph"/>
      </w:pPr>
      <w:r>
        <w:t xml:space="preserve">Management previously expected Medicaid to remain loss-making in 2026 because state rate increases were insufficient relative to acuity and medical-cost trends. It anticipated only modest margin improvement beginning in 2027.</w:t>
      </w:r>
    </w:p>
    <w:p>
      <w:pPr>
        <w:pStyle w:val="BodyText"/>
      </w:pPr>
      <w:r>
        <w:t xml:space="preserve">Q2 commentary should address:</w:t>
      </w:r>
    </w:p>
    <w:p>
      <w:pPr>
        <w:pStyle w:val="Compact"/>
        <w:numPr>
          <w:ilvl w:val="0"/>
          <w:numId w:val="1009"/>
        </w:numPr>
      </w:pPr>
      <w:r>
        <w:t xml:space="preserve">Progress in unresolved state-rate negotiations.</w:t>
      </w:r>
    </w:p>
    <w:p>
      <w:pPr>
        <w:pStyle w:val="Compact"/>
        <w:numPr>
          <w:ilvl w:val="0"/>
          <w:numId w:val="1009"/>
        </w:numPr>
      </w:pPr>
      <w:r>
        <w:t xml:space="preserve">Whether high-acuity utilization is stabilizing.</w:t>
      </w:r>
    </w:p>
    <w:p>
      <w:pPr>
        <w:pStyle w:val="Compact"/>
        <w:numPr>
          <w:ilvl w:val="0"/>
          <w:numId w:val="1009"/>
        </w:numPr>
      </w:pPr>
      <w:r>
        <w:t xml:space="preserve">Membership attrition related to eligibility changes.</w:t>
      </w:r>
    </w:p>
    <w:p>
      <w:pPr>
        <w:pStyle w:val="Compact"/>
        <w:numPr>
          <w:ilvl w:val="0"/>
          <w:numId w:val="1009"/>
        </w:numPr>
      </w:pPr>
      <w:r>
        <w:t xml:space="preserve">Fraud, waste and abuse initiatives.</w:t>
      </w:r>
    </w:p>
    <w:p>
      <w:pPr>
        <w:pStyle w:val="Compact"/>
        <w:numPr>
          <w:ilvl w:val="0"/>
          <w:numId w:val="1009"/>
        </w:numPr>
      </w:pPr>
      <w:r>
        <w:t xml:space="preserve">Whether negative margins remain within the original plan.</w:t>
      </w:r>
    </w:p>
    <w:p>
      <w:pPr>
        <w:pStyle w:val="FirstParagraph"/>
      </w:pPr>
      <w:r>
        <w:t xml:space="preserve">A deterioration in Medicaid could offset favorable Medicare performance, particularly in the second half.</w:t>
      </w:r>
    </w:p>
    <w:p>
      <w:r>
        <w:pict>
          <v:rect style="width:0;height:1.5pt" o:hralign="center" o:hrstd="t" o:hr="t"/>
        </w:pict>
      </w:r>
    </w:p>
    <w:bookmarkEnd w:id="20"/>
    <w:bookmarkStart w:id="23" w:name="X372e9e1066ae4269924a40179d4d3be6e7d8089"/>
    <w:p>
      <w:pPr>
        <w:pStyle w:val="Heading2"/>
      </w:pPr>
      <w:r>
        <w:t xml:space="preserve">7. Optum Insight and Optum Rx need to support the H2 story</w:t>
      </w:r>
    </w:p>
    <w:p>
      <w:pPr>
        <w:pStyle w:val="FirstParagraph"/>
      </w:pPr>
      <w:r>
        <w:t xml:space="preserve">Both businesses are expected to generate approximately</w:t>
      </w:r>
      <w:r>
        <w:t xml:space="preserve"> </w:t>
      </w:r>
      <w:r>
        <w:rPr>
          <w:b/>
          <w:bCs/>
        </w:rPr>
        <w:t xml:space="preserve">60% of annual earnings in the second half</w:t>
      </w:r>
      <w:r>
        <w:t xml:space="preserve">, making the outlook more important than Q2’s reported contribution.</w:t>
      </w:r>
    </w:p>
    <w:bookmarkStart w:id="21" w:name="optum-insight"/>
    <w:p>
      <w:pPr>
        <w:pStyle w:val="Heading3"/>
      </w:pPr>
      <w:r>
        <w:t xml:space="preserve">Optum Insight</w:t>
      </w:r>
    </w:p>
    <w:p>
      <w:pPr>
        <w:pStyle w:val="FirstParagraph"/>
      </w:pPr>
      <w:r>
        <w:t xml:space="preserve">Investors should look for:</w:t>
      </w:r>
    </w:p>
    <w:p>
      <w:pPr>
        <w:pStyle w:val="Compact"/>
        <w:numPr>
          <w:ilvl w:val="0"/>
          <w:numId w:val="1010"/>
        </w:numPr>
      </w:pPr>
      <w:r>
        <w:t xml:space="preserve">Growth in the pipeline for AI-based products such as Optum Real.</w:t>
      </w:r>
    </w:p>
    <w:p>
      <w:pPr>
        <w:pStyle w:val="Compact"/>
        <w:numPr>
          <w:ilvl w:val="0"/>
          <w:numId w:val="1010"/>
        </w:numPr>
      </w:pPr>
      <w:r>
        <w:t xml:space="preserve">Signs that revenue from new products is beginning to replace decommissioned legacy offerings.</w:t>
      </w:r>
    </w:p>
    <w:p>
      <w:pPr>
        <w:pStyle w:val="Compact"/>
        <w:numPr>
          <w:ilvl w:val="0"/>
          <w:numId w:val="1010"/>
        </w:numPr>
      </w:pPr>
      <w:r>
        <w:t xml:space="preserve">Progress integrating Optum Financial.</w:t>
      </w:r>
    </w:p>
    <w:p>
      <w:pPr>
        <w:pStyle w:val="Compact"/>
        <w:numPr>
          <w:ilvl w:val="0"/>
          <w:numId w:val="1010"/>
        </w:numPr>
      </w:pPr>
      <w:r>
        <w:t xml:space="preserve">Evidence that the company’s</w:t>
      </w:r>
      <w:r>
        <w:t xml:space="preserve"> </w:t>
      </w:r>
      <w:r>
        <w:rPr>
          <w:b/>
          <w:bCs/>
        </w:rPr>
        <w:t xml:space="preserve">$1.5 billion AI investment</w:t>
      </w:r>
      <w:r>
        <w:t xml:space="preserve"> </w:t>
      </w:r>
      <w:r>
        <w:t xml:space="preserve">can generate measurable revenue or cost savings.</w:t>
      </w:r>
    </w:p>
    <w:p>
      <w:pPr>
        <w:pStyle w:val="Compact"/>
        <w:numPr>
          <w:ilvl w:val="0"/>
          <w:numId w:val="1010"/>
        </w:numPr>
      </w:pPr>
      <w:r>
        <w:t xml:space="preserve">Timing of the pending Alegeus transaction.</w:t>
      </w:r>
    </w:p>
    <w:bookmarkEnd w:id="21"/>
    <w:bookmarkStart w:id="22" w:name="optum-rx"/>
    <w:p>
      <w:pPr>
        <w:pStyle w:val="Heading3"/>
      </w:pPr>
      <w:r>
        <w:t xml:space="preserve">Optum Rx</w:t>
      </w:r>
    </w:p>
    <w:p>
      <w:pPr>
        <w:pStyle w:val="FirstParagraph"/>
      </w:pPr>
      <w:r>
        <w:t xml:space="preserve">Key topics include:</w:t>
      </w:r>
    </w:p>
    <w:p>
      <w:pPr>
        <w:pStyle w:val="Compact"/>
        <w:numPr>
          <w:ilvl w:val="0"/>
          <w:numId w:val="1011"/>
        </w:numPr>
      </w:pPr>
      <w:r>
        <w:t xml:space="preserve">Profitability of the more than 800 new clients being onboarded.</w:t>
      </w:r>
    </w:p>
    <w:p>
      <w:pPr>
        <w:pStyle w:val="Compact"/>
        <w:numPr>
          <w:ilvl w:val="0"/>
          <w:numId w:val="1011"/>
        </w:numPr>
      </w:pPr>
      <w:r>
        <w:t xml:space="preserve">The effect of lower UHC membership on prescription volumes.</w:t>
      </w:r>
    </w:p>
    <w:p>
      <w:pPr>
        <w:pStyle w:val="Compact"/>
        <w:numPr>
          <w:ilvl w:val="0"/>
          <w:numId w:val="1011"/>
        </w:numPr>
      </w:pPr>
      <w:r>
        <w:t xml:space="preserve">Specialty pharmacy growth.</w:t>
      </w:r>
    </w:p>
    <w:p>
      <w:pPr>
        <w:pStyle w:val="Compact"/>
        <w:numPr>
          <w:ilvl w:val="0"/>
          <w:numId w:val="1011"/>
        </w:numPr>
      </w:pPr>
      <w:r>
        <w:t xml:space="preserve">Progress toward full rebate pass-through.</w:t>
      </w:r>
    </w:p>
    <w:p>
      <w:pPr>
        <w:pStyle w:val="Compact"/>
        <w:numPr>
          <w:ilvl w:val="0"/>
          <w:numId w:val="1011"/>
        </w:numPr>
      </w:pPr>
      <w:r>
        <w:t xml:space="preserve">Economics of the new, more transparent PBM contracting model.</w:t>
      </w:r>
    </w:p>
    <w:p>
      <w:pPr>
        <w:pStyle w:val="Compact"/>
        <w:numPr>
          <w:ilvl w:val="0"/>
          <w:numId w:val="1011"/>
        </w:numPr>
      </w:pPr>
      <w:r>
        <w:t xml:space="preserve">Regulatory and state-level pharmacy-policy exposure.</w:t>
      </w:r>
    </w:p>
    <w:p>
      <w:pPr>
        <w:pStyle w:val="FirstParagraph"/>
      </w:pPr>
      <w:r>
        <w:t xml:space="preserve">Q1 adjusted prescription volume declined from</w:t>
      </w:r>
      <w:r>
        <w:t xml:space="preserve"> </w:t>
      </w:r>
      <w:r>
        <w:rPr>
          <w:b/>
          <w:bCs/>
        </w:rPr>
        <w:t xml:space="preserve">408 million to 383 million</w:t>
      </w:r>
      <w:r>
        <w:t xml:space="preserve">, so volume trends deserve attention even if margins remain within the targeted range.</w:t>
      </w:r>
    </w:p>
    <w:p>
      <w:r>
        <w:pict>
          <v:rect style="width:0;height:1.5pt" o:hralign="center" o:hrstd="t" o:hr="t"/>
        </w:pict>
      </w:r>
    </w:p>
    <w:bookmarkEnd w:id="22"/>
    <w:bookmarkEnd w:id="23"/>
    <w:bookmarkStart w:id="24" w:name="capital-allocation-and-balance-sheet"/>
    <w:p>
      <w:pPr>
        <w:pStyle w:val="Heading2"/>
      </w:pPr>
      <w:r>
        <w:t xml:space="preserve">Capital allocation and balance sheet</w:t>
      </w:r>
    </w:p>
    <w:p>
      <w:pPr>
        <w:pStyle w:val="FirstParagraph"/>
      </w:pPr>
      <w:r>
        <w:t xml:space="preserve">UNH accelerated buybacks after Q1, planning to repurchase at least</w:t>
      </w:r>
      <w:r>
        <w:t xml:space="preserve"> </w:t>
      </w:r>
      <w:r>
        <w:rPr>
          <w:b/>
          <w:bCs/>
        </w:rPr>
        <w:t xml:space="preserve">$2 billion</w:t>
      </w:r>
      <w:r>
        <w:t xml:space="preserve"> </w:t>
      </w:r>
      <w:r>
        <w:t xml:space="preserve">of stock by the end of Q2. Investors should expect an update on completion and on whether additional repurchases are planned.</w:t>
      </w:r>
    </w:p>
    <w:p>
      <w:pPr>
        <w:pStyle w:val="BodyText"/>
      </w:pPr>
      <w:r>
        <w:t xml:space="preserve">The company ended Q1 with:</w:t>
      </w:r>
    </w:p>
    <w:p>
      <w:pPr>
        <w:pStyle w:val="Compact"/>
        <w:numPr>
          <w:ilvl w:val="0"/>
          <w:numId w:val="1012"/>
        </w:numPr>
      </w:pPr>
      <w:r>
        <w:rPr>
          <w:b/>
          <w:bCs/>
        </w:rPr>
        <w:t xml:space="preserve">$8.9 billion</w:t>
      </w:r>
      <w:r>
        <w:t xml:space="preserve"> </w:t>
      </w:r>
      <w:r>
        <w:t xml:space="preserve">of operating cash flow.</w:t>
      </w:r>
    </w:p>
    <w:p>
      <w:pPr>
        <w:pStyle w:val="Compact"/>
        <w:numPr>
          <w:ilvl w:val="0"/>
          <w:numId w:val="1012"/>
        </w:numPr>
      </w:pPr>
      <w:r>
        <w:rPr>
          <w:b/>
          <w:bCs/>
        </w:rPr>
        <w:t xml:space="preserve">42.9% debt-to-capital</w:t>
      </w:r>
      <w:r>
        <w:t xml:space="preserve">, down from 43.9% at year-end.</w:t>
      </w:r>
    </w:p>
    <w:p>
      <w:pPr>
        <w:pStyle w:val="Compact"/>
        <w:numPr>
          <w:ilvl w:val="0"/>
          <w:numId w:val="1012"/>
        </w:numPr>
      </w:pPr>
      <w:r>
        <w:t xml:space="preserve">A target of approximately</w:t>
      </w:r>
      <w:r>
        <w:t xml:space="preserve"> </w:t>
      </w:r>
      <w:r>
        <w:rPr>
          <w:b/>
          <w:bCs/>
        </w:rPr>
        <w:t xml:space="preserve">40% debt-to-capital</w:t>
      </w:r>
      <w:r>
        <w:t xml:space="preserve"> </w:t>
      </w:r>
      <w:r>
        <w:t xml:space="preserve">in the second half.</w:t>
      </w:r>
    </w:p>
    <w:p>
      <w:pPr>
        <w:pStyle w:val="FirstParagraph"/>
      </w:pPr>
      <w:r>
        <w:t xml:space="preserve">Strong cash conversion, further leverage reduction and continued buybacks would reinforce confidence that operating improvement is translating into high-quality earnings.</w:t>
      </w:r>
    </w:p>
    <w:p>
      <w:r>
        <w:pict>
          <v:rect style="width:0;height:1.5pt" o:hralign="center" o:hrstd="t" o:hr="t"/>
        </w:pict>
      </w:r>
    </w:p>
    <w:bookmarkEnd w:id="24"/>
    <w:bookmarkStart w:id="28" w:name="scenario-framework"/>
    <w:p>
      <w:pPr>
        <w:pStyle w:val="Heading2"/>
      </w:pPr>
      <w:r>
        <w:t xml:space="preserve">Scenario framework</w:t>
      </w:r>
    </w:p>
    <w:bookmarkStart w:id="25" w:name="bull-case"/>
    <w:p>
      <w:pPr>
        <w:pStyle w:val="Heading3"/>
      </w:pPr>
      <w:r>
        <w:t xml:space="preserve">Bull case</w:t>
      </w:r>
    </w:p>
    <w:p>
      <w:pPr>
        <w:pStyle w:val="Compact"/>
        <w:numPr>
          <w:ilvl w:val="0"/>
          <w:numId w:val="1013"/>
        </w:numPr>
      </w:pPr>
      <w:r>
        <w:t xml:space="preserve">Adjusted EPS clearly exceeds $4.84.</w:t>
      </w:r>
    </w:p>
    <w:p>
      <w:pPr>
        <w:pStyle w:val="Compact"/>
        <w:numPr>
          <w:ilvl w:val="0"/>
          <w:numId w:val="1013"/>
        </w:numPr>
      </w:pPr>
      <w:r>
        <w:t xml:space="preserve">MCR is below 88.5% because of favorable current-period utilization, not merely reserve development.</w:t>
      </w:r>
    </w:p>
    <w:p>
      <w:pPr>
        <w:pStyle w:val="Compact"/>
        <w:numPr>
          <w:ilvl w:val="0"/>
          <w:numId w:val="1013"/>
        </w:numPr>
      </w:pPr>
      <w:r>
        <w:t xml:space="preserve">Full-year EPS guidance rises meaningfully above $18.25.</w:t>
      </w:r>
    </w:p>
    <w:p>
      <w:pPr>
        <w:pStyle w:val="Compact"/>
        <w:numPr>
          <w:ilvl w:val="0"/>
          <w:numId w:val="1013"/>
        </w:numPr>
      </w:pPr>
      <w:r>
        <w:t xml:space="preserve">Optum Health shows sustainable operating improvement.</w:t>
      </w:r>
    </w:p>
    <w:p>
      <w:pPr>
        <w:pStyle w:val="Compact"/>
        <w:numPr>
          <w:ilvl w:val="0"/>
          <w:numId w:val="1013"/>
        </w:numPr>
      </w:pPr>
      <w:r>
        <w:t xml:space="preserve">Management remains confident in 2027 MA margin expansion.</w:t>
      </w:r>
    </w:p>
    <w:p>
      <w:pPr>
        <w:pStyle w:val="Compact"/>
        <w:numPr>
          <w:ilvl w:val="0"/>
          <w:numId w:val="1013"/>
        </w:numPr>
      </w:pPr>
      <w:r>
        <w:t xml:space="preserve">Cash flow and buybacks exceed expectations.</w:t>
      </w:r>
    </w:p>
    <w:bookmarkEnd w:id="25"/>
    <w:bookmarkStart w:id="26" w:name="base-case"/>
    <w:p>
      <w:pPr>
        <w:pStyle w:val="Heading3"/>
      </w:pPr>
      <w:r>
        <w:t xml:space="preserve">Base case</w:t>
      </w:r>
    </w:p>
    <w:p>
      <w:pPr>
        <w:pStyle w:val="Compact"/>
        <w:numPr>
          <w:ilvl w:val="0"/>
          <w:numId w:val="1014"/>
        </w:numPr>
      </w:pPr>
      <w:r>
        <w:t xml:space="preserve">Modest EPS and MCR beat.</w:t>
      </w:r>
    </w:p>
    <w:p>
      <w:pPr>
        <w:pStyle w:val="Compact"/>
        <w:numPr>
          <w:ilvl w:val="0"/>
          <w:numId w:val="1014"/>
        </w:numPr>
      </w:pPr>
      <w:r>
        <w:t xml:space="preserve">Guidance is raised by</w:t>
      </w:r>
      <w:r>
        <w:t xml:space="preserve"> </w:t>
      </w:r>
      <m:oMath>
        <m:r>
          <m:t>0.25</m:t>
        </m:r>
        <m:r>
          <m:rPr>
            <m:sty m:val="p"/>
          </m:rPr>
          <m:t>–</m:t>
        </m:r>
      </m:oMath>
      <w:r>
        <w:t xml:space="preserve">0.50.</w:t>
      </w:r>
    </w:p>
    <w:p>
      <w:pPr>
        <w:pStyle w:val="Compact"/>
        <w:numPr>
          <w:ilvl w:val="0"/>
          <w:numId w:val="1014"/>
        </w:numPr>
      </w:pPr>
      <w:r>
        <w:t xml:space="preserve">Management retains cautious second-half assumptions.</w:t>
      </w:r>
    </w:p>
    <w:p>
      <w:pPr>
        <w:pStyle w:val="Compact"/>
        <w:numPr>
          <w:ilvl w:val="0"/>
          <w:numId w:val="1014"/>
        </w:numPr>
      </w:pPr>
      <w:r>
        <w:t xml:space="preserve">Optum Health declines sequentially but remains on plan.</w:t>
      </w:r>
    </w:p>
    <w:p>
      <w:pPr>
        <w:pStyle w:val="Compact"/>
        <w:numPr>
          <w:ilvl w:val="0"/>
          <w:numId w:val="1014"/>
        </w:numPr>
      </w:pPr>
      <w:r>
        <w:t xml:space="preserve">2027 MA commentary is constructive but includes further benefit reductions and selective market exits.</w:t>
      </w:r>
    </w:p>
    <w:bookmarkEnd w:id="26"/>
    <w:bookmarkStart w:id="27" w:name="bear-case"/>
    <w:p>
      <w:pPr>
        <w:pStyle w:val="Heading3"/>
      </w:pPr>
      <w:r>
        <w:t xml:space="preserve">Bear case</w:t>
      </w:r>
    </w:p>
    <w:p>
      <w:pPr>
        <w:pStyle w:val="Compact"/>
        <w:numPr>
          <w:ilvl w:val="0"/>
          <w:numId w:val="1015"/>
        </w:numPr>
      </w:pPr>
      <w:r>
        <w:t xml:space="preserve">MCR exceeds expectations or management identifies accelerating utilization.</w:t>
      </w:r>
    </w:p>
    <w:p>
      <w:pPr>
        <w:pStyle w:val="Compact"/>
        <w:numPr>
          <w:ilvl w:val="0"/>
          <w:numId w:val="1015"/>
        </w:numPr>
      </w:pPr>
      <w:r>
        <w:t xml:space="preserve">Q1 reserve favorability proves less durable as claims mature.</w:t>
      </w:r>
    </w:p>
    <w:p>
      <w:pPr>
        <w:pStyle w:val="Compact"/>
        <w:numPr>
          <w:ilvl w:val="0"/>
          <w:numId w:val="1015"/>
        </w:numPr>
      </w:pPr>
      <w:r>
        <w:t xml:space="preserve">Guidance is merely maintained despite an earnings beat.</w:t>
      </w:r>
    </w:p>
    <w:p>
      <w:pPr>
        <w:pStyle w:val="Compact"/>
        <w:numPr>
          <w:ilvl w:val="0"/>
          <w:numId w:val="1015"/>
        </w:numPr>
      </w:pPr>
      <w:r>
        <w:t xml:space="preserve">Optum Health’s Q1 strength proves heavily reserve-driven.</w:t>
      </w:r>
    </w:p>
    <w:p>
      <w:pPr>
        <w:pStyle w:val="Compact"/>
        <w:numPr>
          <w:ilvl w:val="0"/>
          <w:numId w:val="1015"/>
        </w:numPr>
      </w:pPr>
      <w:r>
        <w:t xml:space="preserve">Medicaid losses worsen.</w:t>
      </w:r>
    </w:p>
    <w:p>
      <w:pPr>
        <w:pStyle w:val="Compact"/>
        <w:numPr>
          <w:ilvl w:val="0"/>
          <w:numId w:val="1015"/>
        </w:numPr>
      </w:pPr>
      <w:r>
        <w:t xml:space="preserve">Management backs away from its 2027 MA margin objective.</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This report is less about whether UNH can beat a quarterly EPS estimate and more about whether it can validate the</w:t>
      </w:r>
      <w:r>
        <w:t xml:space="preserve"> </w:t>
      </w:r>
      <w:r>
        <w:rPr>
          <w:b/>
          <w:bCs/>
        </w:rPr>
        <w:t xml:space="preserve">durability and quality of its turnaround</w:t>
      </w:r>
      <w:r>
        <w:t xml:space="preserve">.</w:t>
      </w:r>
    </w:p>
    <w:p>
      <w:pPr>
        <w:pStyle w:val="BodyText"/>
      </w:pPr>
      <w:r>
        <w:t xml:space="preserve">The three decisive questions are:</w:t>
      </w:r>
    </w:p>
    <w:p>
      <w:pPr>
        <w:pStyle w:val="Compact"/>
        <w:numPr>
          <w:ilvl w:val="0"/>
          <w:numId w:val="1016"/>
        </w:numPr>
      </w:pPr>
      <w:r>
        <w:rPr>
          <w:b/>
          <w:bCs/>
        </w:rPr>
        <w:t xml:space="preserve">Are current-period medical costs still developing favorably after claims maturation?</w:t>
      </w:r>
    </w:p>
    <w:p>
      <w:pPr>
        <w:pStyle w:val="Compact"/>
        <w:numPr>
          <w:ilvl w:val="0"/>
          <w:numId w:val="1016"/>
        </w:numPr>
      </w:pPr>
      <w:r>
        <w:rPr>
          <w:b/>
          <w:bCs/>
        </w:rPr>
        <w:t xml:space="preserve">Is Optum Health establishing a sustainable earnings base rather than benefiting primarily from reserves and portfolio adjustments?</w:t>
      </w:r>
    </w:p>
    <w:p>
      <w:pPr>
        <w:pStyle w:val="Compact"/>
        <w:numPr>
          <w:ilvl w:val="0"/>
          <w:numId w:val="1016"/>
        </w:numPr>
      </w:pPr>
      <w:r>
        <w:rPr>
          <w:b/>
          <w:bCs/>
        </w:rPr>
        <w:t xml:space="preserve">Can management raise the 2026 outlook while preserving confidence in 2027 Medicare Advantage margin recovery?</w:t>
      </w:r>
    </w:p>
    <w:p>
      <w:pPr>
        <w:pStyle w:val="FirstParagraph"/>
      </w:pPr>
      <w:r>
        <w:t xml:space="preserve">With the shares already up sharply, the market is pricing in substantial progress. A clean MCR result, a credible guidance increase and strong 2027 commentary could sustain the rerating. Conversely, any indication that Q1 was unusually favorable rather than the start of a durable recovery would expose UNH to a meaningful reset.</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2026-07-16T01:15:04Z</dcterms:created>
  <dcterms:modified xsi:type="dcterms:W3CDTF">2026-07-16T01:15:04Z</dcterms:modified>
</cp:coreProperties>
</file>

<file path=docProps/custom.xml><?xml version="1.0" encoding="utf-8"?>
<Properties xmlns="http://schemas.openxmlformats.org/officeDocument/2006/custom-properties" xmlns:vt="http://schemas.openxmlformats.org/officeDocument/2006/docPropsVTypes"/>
</file>