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14be4550dc4abb05998520d1b4ce9364b5d6df"/>
    <w:p>
      <w:pPr>
        <w:pStyle w:val="Heading1"/>
      </w:pPr>
      <w:r>
        <w:t xml:space="preserve">UnitedHealth Group (UNH) — 2Q26 Earnings Preview</w:t>
      </w:r>
    </w:p>
    <w:p>
      <w:pPr>
        <w:pStyle w:val="BlockText"/>
      </w:pPr>
      <w:r>
        <w:rPr>
          <w:b/>
          <w:bCs/>
        </w:rPr>
        <w:t xml:space="preserve">Timing correction:</w:t>
      </w:r>
      <w:r>
        <w:t xml:space="preserve"> </w:t>
      </w:r>
      <w:r>
        <w:t xml:space="preserve">UNH is scheduled to report</w:t>
      </w:r>
      <w:r>
        <w:t xml:space="preserve"> </w:t>
      </w:r>
      <w:r>
        <w:rPr>
          <w:b/>
          <w:bCs/>
        </w:rPr>
        <w:t xml:space="preserve">today, Thursday, July 16, 2026, before the U.S. market opens</w:t>
      </w:r>
      <w:r>
        <w:t xml:space="preserve">—not tomorrow. This preview reflects information available through the July 15 close.</w:t>
      </w:r>
    </w:p>
    <w:bookmarkStart w:id="9" w:name="X8f30af075b29967ba15d145a691ae6117c821e2"/>
    <w:p>
      <w:pPr>
        <w:pStyle w:val="Heading2"/>
      </w:pPr>
      <w:r>
        <w:t xml:space="preserve">Investment view: the report is about validating the turnaround—not simply beating EPS</w:t>
      </w:r>
    </w:p>
    <w:p>
      <w:pPr>
        <w:pStyle w:val="FirstParagraph"/>
      </w:pPr>
      <w:r>
        <w:t xml:space="preserve">UNH enters 2Q with sentiment materially improved from the 2025 reset, but with a higher bar after a strong 1Q. The stock closed July 15 at</w:t>
      </w:r>
      <w:r>
        <w:t xml:space="preserve"> </w:t>
      </w:r>
      <w:r>
        <w:rPr>
          <w:b/>
          <w:bCs/>
        </w:rPr>
        <w:t xml:space="preserve">$418.56</w:t>
      </w:r>
      <w:r>
        <w:t xml:space="preserve">, up roughly</w:t>
      </w:r>
      <w:r>
        <w:t xml:space="preserve"> </w:t>
      </w:r>
      <w:r>
        <w:rPr>
          <w:b/>
          <w:bCs/>
        </w:rPr>
        <w:t xml:space="preserve">21% since the 1Q earnings release on April 21</w:t>
      </w:r>
      <w:r>
        <w:t xml:space="preserve"> </w:t>
      </w:r>
      <w:r>
        <w:t xml:space="preserve">and about</w:t>
      </w:r>
      <w:r>
        <w:t xml:space="preserve"> </w:t>
      </w:r>
      <w:r>
        <w:rPr>
          <w:b/>
          <w:bCs/>
        </w:rPr>
        <w:t xml:space="preserve">10% since May 29</w:t>
      </w:r>
      <w:r>
        <w:t xml:space="preserve">, while it has pulled back ~3% from its July 9 high.</w:t>
      </w:r>
    </w:p>
    <w:p>
      <w:pPr>
        <w:pStyle w:val="BodyText"/>
      </w:pPr>
      <w:r>
        <w:t xml:space="preserve">The central question is whether management can demonstrate that the favorable 1Q result represented</w:t>
      </w:r>
      <w:r>
        <w:t xml:space="preserve"> </w:t>
      </w:r>
      <w:r>
        <w:rPr>
          <w:b/>
          <w:bCs/>
        </w:rPr>
        <w:t xml:space="preserve">sustainable operating improvement</w:t>
      </w:r>
      <w:r>
        <w:t xml:space="preserve"> </w:t>
      </w:r>
      <w:r>
        <w:t xml:space="preserve">rather than a seasonal, reserve-development-assisted start to the year. Investors should focus most closely on:</w:t>
      </w:r>
    </w:p>
    <w:p>
      <w:pPr>
        <w:pStyle w:val="Compact"/>
        <w:numPr>
          <w:ilvl w:val="0"/>
          <w:numId w:val="1001"/>
        </w:numPr>
      </w:pPr>
      <w:r>
        <w:rPr>
          <w:b/>
          <w:bCs/>
        </w:rPr>
        <w:t xml:space="preserve">Medical-cost trend and the medical care ratio (MCR)</w:t>
      </w:r>
      <w:r>
        <w:t xml:space="preserve">—especially Medicare Advantage utilization, service intensity, and provider billing.</w:t>
      </w:r>
    </w:p>
    <w:p>
      <w:pPr>
        <w:pStyle w:val="Compact"/>
        <w:numPr>
          <w:ilvl w:val="0"/>
          <w:numId w:val="1001"/>
        </w:numPr>
      </w:pPr>
      <w:r>
        <w:rPr>
          <w:b/>
          <w:bCs/>
        </w:rPr>
        <w:t xml:space="preserve">Confidence in the full-year EPS outlook of greater than $18.25.</w:t>
      </w:r>
    </w:p>
    <w:p>
      <w:pPr>
        <w:pStyle w:val="Compact"/>
        <w:numPr>
          <w:ilvl w:val="0"/>
          <w:numId w:val="1001"/>
        </w:numPr>
      </w:pPr>
      <w:r>
        <w:rPr>
          <w:b/>
          <w:bCs/>
        </w:rPr>
        <w:t xml:space="preserve">Optum Health’s underlying execution</w:t>
      </w:r>
      <w:r>
        <w:t xml:space="preserve">: progress on value-based care remediation, contract repricing, and cost/productivity initiatives.</w:t>
      </w:r>
    </w:p>
    <w:p>
      <w:pPr>
        <w:pStyle w:val="Compact"/>
        <w:numPr>
          <w:ilvl w:val="0"/>
          <w:numId w:val="1001"/>
        </w:numPr>
      </w:pPr>
      <w:r>
        <w:rPr>
          <w:b/>
          <w:bCs/>
        </w:rPr>
        <w:t xml:space="preserve">Membership attrition versus margin recovery</w:t>
      </w:r>
      <w:r>
        <w:t xml:space="preserve">, particularly in Medicare Advantage, Medicaid, and ACA.</w:t>
      </w:r>
    </w:p>
    <w:p>
      <w:pPr>
        <w:pStyle w:val="Compact"/>
        <w:numPr>
          <w:ilvl w:val="0"/>
          <w:numId w:val="1001"/>
        </w:numPr>
      </w:pPr>
      <w:r>
        <w:rPr>
          <w:b/>
          <w:bCs/>
        </w:rPr>
        <w:t xml:space="preserve">The credibility of the 2027 earnings-reacceleration narrative.</w:t>
      </w:r>
    </w:p>
    <w:bookmarkEnd w:id="9"/>
    <w:bookmarkStart w:id="10" w:name="what-the-street-expects"/>
    <w:p>
      <w:pPr>
        <w:pStyle w:val="Heading2"/>
      </w:pPr>
      <w:r>
        <w:t xml:space="preserve">What the Street expects</w:t>
      </w:r>
    </w:p>
    <w:p>
      <w:pPr>
        <w:pStyle w:val="FirstParagraph"/>
      </w:pPr>
      <w:r>
        <w:t xml:space="preserve">Recent market expectations call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expectation</w:t>
            </w:r>
          </w:p>
        </w:tc>
      </w:tr>
      <w:tr>
        <w:tc>
          <w:tcPr/>
          <w:p>
            <w:pPr>
              <w:pStyle w:val="Compact"/>
            </w:pPr>
            <w:r>
              <w:t xml:space="preserve">Adjusted EPS</w:t>
            </w:r>
          </w:p>
        </w:tc>
        <w:tc>
          <w:tcPr/>
          <w:p>
            <w:pPr>
              <w:pStyle w:val="Compact"/>
              <w:jc w:val="right"/>
            </w:pPr>
            <w:r>
              <w:rPr>
                <w:b/>
                <w:bCs/>
              </w:rPr>
              <w:t xml:space="preserve">$4.84</w:t>
            </w:r>
          </w:p>
        </w:tc>
      </w:tr>
      <w:tr>
        <w:tc>
          <w:tcPr/>
          <w:p>
            <w:pPr>
              <w:pStyle w:val="Compact"/>
            </w:pPr>
            <w:r>
              <w:t xml:space="preserve">Revenue</w:t>
            </w:r>
          </w:p>
        </w:tc>
        <w:tc>
          <w:tcPr/>
          <w:p>
            <w:pPr>
              <w:pStyle w:val="Compact"/>
              <w:jc w:val="right"/>
            </w:pPr>
            <w:r>
              <w:rPr>
                <w:b/>
                <w:bCs/>
              </w:rPr>
              <w:t xml:space="preserve">~$110.7B</w:t>
            </w:r>
          </w:p>
        </w:tc>
      </w:tr>
      <w:tr>
        <w:tc>
          <w:tcPr/>
          <w:p>
            <w:pPr>
              <w:pStyle w:val="Compact"/>
            </w:pPr>
            <w:r>
              <w:t xml:space="preserve">Year-over-year EPS growth</w:t>
            </w:r>
          </w:p>
        </w:tc>
        <w:tc>
          <w:tcPr/>
          <w:p>
            <w:pPr>
              <w:pStyle w:val="Compact"/>
              <w:jc w:val="right"/>
            </w:pPr>
            <w:r>
              <w:rPr>
                <w:b/>
                <w:bCs/>
              </w:rPr>
              <w:t xml:space="preserve">~18.5%</w:t>
            </w:r>
          </w:p>
        </w:tc>
      </w:tr>
      <w:tr>
        <w:tc>
          <w:tcPr/>
          <w:p>
            <w:pPr>
              <w:pStyle w:val="Compact"/>
            </w:pPr>
            <w:r>
              <w:t xml:space="preserve">Medical care ratio</w:t>
            </w:r>
          </w:p>
        </w:tc>
        <w:tc>
          <w:tcPr/>
          <w:p>
            <w:pPr>
              <w:pStyle w:val="Compact"/>
              <w:jc w:val="right"/>
            </w:pPr>
            <w:r>
              <w:rPr>
                <w:b/>
                <w:bCs/>
              </w:rPr>
              <w:t xml:space="preserve">~88.5%</w:t>
            </w:r>
          </w:p>
        </w:tc>
      </w:tr>
    </w:tbl>
    <w:p>
      <w:pPr>
        <w:pStyle w:val="BodyText"/>
      </w:pPr>
      <w:r>
        <w:t xml:space="preserve">The headline setup is unusual: revenue is expected to be approximately flat year over year, while EPS is expected to rise sharply. That puts greater emphasis on the quality of margins, reserve development, and cost control—not top-line growth.</w:t>
      </w:r>
    </w:p>
    <w:bookmarkEnd w:id="10"/>
    <w:bookmarkStart w:id="13" w:name="why-2q-is-the-key-proof-point"/>
    <w:p>
      <w:pPr>
        <w:pStyle w:val="Heading2"/>
      </w:pPr>
      <w:r>
        <w:t xml:space="preserve">Why 2Q is the key proof point</w:t>
      </w:r>
    </w:p>
    <w:bookmarkStart w:id="11" w:name="Xf1e86f90f4e4c9fe38aea8f4dab19a7a9e1a68f"/>
    <w:p>
      <w:pPr>
        <w:pStyle w:val="Heading3"/>
      </w:pPr>
      <w:r>
        <w:t xml:space="preserve">1. The 1Q beat had important favorable components</w:t>
      </w:r>
    </w:p>
    <w:p>
      <w:pPr>
        <w:pStyle w:val="FirstParagraph"/>
      </w:pPr>
      <w:r>
        <w:t xml:space="preserve">UNH reported 1Q adjusted EPS of</w:t>
      </w:r>
      <w:r>
        <w:t xml:space="preserve"> </w:t>
      </w:r>
      <m:oMath>
        <m:r>
          <m:t>7.23</m:t>
        </m:r>
        <m:r>
          <m:rPr>
            <m:sty m:val="p"/>
          </m:rPr>
          <m:t>*</m:t>
        </m:r>
        <m:r>
          <m:rPr>
            <m:sty m:val="p"/>
          </m:rPr>
          <m:t>*</m:t>
        </m:r>
        <m:r>
          <m:t>a</m:t>
        </m:r>
        <m:r>
          <m:t>n</m:t>
        </m:r>
        <m:r>
          <m:t>d</m:t>
        </m:r>
        <m:r>
          <m:t>r</m:t>
        </m:r>
        <m:r>
          <m:t>e</m:t>
        </m:r>
        <m:r>
          <m:t>v</m:t>
        </m:r>
        <m:r>
          <m:t>e</m:t>
        </m:r>
        <m:r>
          <m:t>n</m:t>
        </m:r>
        <m:r>
          <m:t>u</m:t>
        </m:r>
        <m:r>
          <m:t>e</m:t>
        </m:r>
        <m:r>
          <m:t>o</m:t>
        </m:r>
        <m:r>
          <m:t>f</m:t>
        </m:r>
        <m:r>
          <m:rPr>
            <m:sty m:val="p"/>
          </m:rPr>
          <m:t>*</m:t>
        </m:r>
        <m:r>
          <m:rPr>
            <m:sty m:val="p"/>
          </m:rPr>
          <m:t>*</m:t>
        </m:r>
      </m:oMath>
      <w:r>
        <w:rPr>
          <w:b/>
          <w:bCs/>
        </w:rPr>
        <w:t xml:space="preserve">111.7B</w:t>
      </w:r>
      <w:r>
        <w:t xml:space="preserve">, with an</w:t>
      </w:r>
      <w:r>
        <w:t xml:space="preserve"> </w:t>
      </w:r>
      <w:r>
        <w:rPr>
          <w:b/>
          <w:bCs/>
        </w:rPr>
        <w:t xml:space="preserve">83.9% MCR</w:t>
      </w:r>
      <w:r>
        <w:t xml:space="preserve">, versus 84.8% a year earlier. However, the quarter benefited from more than</w:t>
      </w:r>
      <w:r>
        <w:t xml:space="preserve"> </w:t>
      </w:r>
      <w:r>
        <w:rPr>
          <w:b/>
          <w:bCs/>
        </w:rPr>
        <w:t xml:space="preserve">$500M of favorable prior-period medical reserve development</w:t>
      </w:r>
      <w:r>
        <w:t xml:space="preserve">, along with lower respiratory illness activity and favorable mix dynamics.</w:t>
      </w:r>
    </w:p>
    <w:p>
      <w:pPr>
        <w:pStyle w:val="BodyText"/>
      </w:pPr>
      <w:r>
        <w:t xml:space="preserve">Management was direct that the first quarter was not the right point to declare victory: it expected medical costs and MCR to normalize as the year progresses. The company also said that its earnings cadence is heavily first-half weighted:</w:t>
      </w:r>
    </w:p>
    <w:p>
      <w:pPr>
        <w:pStyle w:val="Compact"/>
        <w:numPr>
          <w:ilvl w:val="0"/>
          <w:numId w:val="1002"/>
        </w:numPr>
      </w:pPr>
      <w:r>
        <w:rPr>
          <w:b/>
          <w:bCs/>
        </w:rPr>
        <w:t xml:space="preserve">More than two-thirds</w:t>
      </w:r>
      <w:r>
        <w:t xml:space="preserve"> </w:t>
      </w:r>
      <w:r>
        <w:t xml:space="preserve">of full-year earnings expected in 1H26;</w:t>
      </w:r>
    </w:p>
    <w:p>
      <w:pPr>
        <w:pStyle w:val="Compact"/>
        <w:numPr>
          <w:ilvl w:val="0"/>
          <w:numId w:val="1002"/>
        </w:numPr>
      </w:pPr>
      <w:r>
        <w:t xml:space="preserve">UnitedHealthcare earnings expected to be</w:t>
      </w:r>
      <w:r>
        <w:t xml:space="preserve"> </w:t>
      </w:r>
      <w:r>
        <w:rPr>
          <w:b/>
          <w:bCs/>
        </w:rPr>
        <w:t xml:space="preserve">more than 75%</w:t>
      </w:r>
      <w:r>
        <w:t xml:space="preserve"> </w:t>
      </w:r>
      <w:r>
        <w:t xml:space="preserve">weighted to the first half;</w:t>
      </w:r>
    </w:p>
    <w:p>
      <w:pPr>
        <w:pStyle w:val="Compact"/>
        <w:numPr>
          <w:ilvl w:val="0"/>
          <w:numId w:val="1002"/>
        </w:numPr>
      </w:pPr>
      <w:r>
        <w:t xml:space="preserve">Optum Health similarly expected to be front-half weighted;</w:t>
      </w:r>
    </w:p>
    <w:p>
      <w:pPr>
        <w:pStyle w:val="Compact"/>
        <w:numPr>
          <w:ilvl w:val="0"/>
          <w:numId w:val="1002"/>
        </w:numPr>
      </w:pPr>
      <w:r>
        <w:t xml:space="preserve">Optum Insight and Optum Rx expected to be comparatively back-half weighted.</w:t>
      </w:r>
    </w:p>
    <w:p>
      <w:pPr>
        <w:pStyle w:val="FirstParagraph"/>
      </w:pPr>
      <w:r>
        <w:t xml:space="preserve">This makes 2Q the first real stress test of whether pricing and operating actions are adequately absorbing still-elevated utilization.</w:t>
      </w:r>
    </w:p>
    <w:bookmarkEnd w:id="11"/>
    <w:bookmarkStart w:id="12" w:name="X88c052b113f8dba66241e7b4f706d22b5189602"/>
    <w:p>
      <w:pPr>
        <w:pStyle w:val="Heading3"/>
      </w:pPr>
      <w:r>
        <w:t xml:space="preserve">2. Full-year guidance leaves limited room for a material shortfall</w:t>
      </w:r>
    </w:p>
    <w:p>
      <w:pPr>
        <w:pStyle w:val="FirstParagraph"/>
      </w:pPr>
      <w:r>
        <w:t xml:space="preserve">Using the company’s &gt;</w:t>
      </w:r>
      <m:oMath>
        <m:r>
          <m:t>18.25</m:t>
        </m:r>
        <m:r>
          <m:t>a</m:t>
        </m:r>
        <m:r>
          <m:t>d</m:t>
        </m:r>
        <m:r>
          <m:t>j</m:t>
        </m:r>
        <m:r>
          <m:t>u</m:t>
        </m:r>
        <m:r>
          <m:t>s</m:t>
        </m:r>
        <m:r>
          <m:t>t</m:t>
        </m:r>
        <m:r>
          <m:t>e</m:t>
        </m:r>
        <m:r>
          <m:t>d</m:t>
        </m:r>
        <m:r>
          <m:rPr>
            <m:sty m:val="p"/>
          </m:rPr>
          <m:t>−</m:t>
        </m:r>
        <m:r>
          <m:t>E</m:t>
        </m:r>
        <m:r>
          <m:t>P</m:t>
        </m:r>
        <m:r>
          <m:t>S</m:t>
        </m:r>
        <m:r>
          <m:t>o</m:t>
        </m:r>
        <m:r>
          <m:t>u</m:t>
        </m:r>
        <m:r>
          <m:t>t</m:t>
        </m:r>
        <m:r>
          <m:t>l</m:t>
        </m:r>
        <m:r>
          <m:t>o</m:t>
        </m:r>
        <m:r>
          <m:t>o</m:t>
        </m:r>
        <m:r>
          <m:t>k</m:t>
        </m:r>
        <m:r>
          <m:rPr>
            <m:sty m:val="p"/>
          </m:rPr>
          <m:t>,</m:t>
        </m:r>
        <m:r>
          <m:t>t</m:t>
        </m:r>
        <m:r>
          <m:t>h</m:t>
        </m:r>
        <m:r>
          <m:t>e</m:t>
        </m:r>
        <m:r>
          <m:t>1</m:t>
        </m:r>
        <m:r>
          <m:t>Q</m:t>
        </m:r>
        <m:r>
          <m:t>r</m:t>
        </m:r>
        <m:r>
          <m:t>e</m:t>
        </m:r>
        <m:r>
          <m:t>s</m:t>
        </m:r>
        <m:r>
          <m:t>u</m:t>
        </m:r>
        <m:r>
          <m:t>l</m:t>
        </m:r>
        <m:r>
          <m:t>t</m:t>
        </m:r>
        <m:r>
          <m:rPr>
            <m:sty m:val="p"/>
          </m:rPr>
          <m:t>,</m:t>
        </m:r>
        <m:r>
          <m:t>a</m:t>
        </m:r>
        <m:r>
          <m:t>n</m:t>
        </m:r>
        <m:r>
          <m:t>d</m:t>
        </m:r>
        <m:r>
          <m:t>t</m:t>
        </m:r>
        <m:r>
          <m:t>h</m:t>
        </m:r>
        <m:r>
          <m:t>e</m:t>
        </m:r>
        <m:r>
          <m:t> </m:t>
        </m:r>
      </m:oMath>
      <w:r>
        <w:t xml:space="preserve">4.84 2Q consensus, the implied EPS required in 2H is approximately</w:t>
      </w:r>
      <w:r>
        <w:t xml:space="preserve"> </w:t>
      </w:r>
      <w:r>
        <w:rPr>
          <w:b/>
          <w:bCs/>
        </w:rPr>
        <w:t xml:space="preserve">$6.18</w:t>
      </w:r>
      <w:r>
        <w:t xml:space="preserve"> </w:t>
      </w:r>
      <w:r>
        <w:t xml:space="preserve">in aggregate. That is broadly consistent with management’s stated one-third/ two-thirds earnings cadence.</w:t>
      </w:r>
    </w:p>
    <w:p>
      <w:pPr>
        <w:pStyle w:val="BodyText"/>
      </w:pPr>
      <w:r>
        <w:t xml:space="preserve">In other words, the market likely does not require a large guide increase. But it will react negatively if management:</w:t>
      </w:r>
    </w:p>
    <w:p>
      <w:pPr>
        <w:pStyle w:val="Compact"/>
        <w:numPr>
          <w:ilvl w:val="0"/>
          <w:numId w:val="1003"/>
        </w:numPr>
      </w:pPr>
      <w:r>
        <w:t xml:space="preserve">cuts the outlook,</w:t>
      </w:r>
    </w:p>
    <w:p>
      <w:pPr>
        <w:pStyle w:val="Compact"/>
        <w:numPr>
          <w:ilvl w:val="0"/>
          <w:numId w:val="1003"/>
        </w:numPr>
      </w:pPr>
      <w:r>
        <w:t xml:space="preserve">meaningfully reduces confidence in the second-half run rate, or</w:t>
      </w:r>
    </w:p>
    <w:p>
      <w:pPr>
        <w:pStyle w:val="Compact"/>
        <w:numPr>
          <w:ilvl w:val="0"/>
          <w:numId w:val="1003"/>
        </w:numPr>
      </w:pPr>
      <w:r>
        <w:t xml:space="preserve">attributes a 2Q shortfall to re-accelerating medical utilization.</w:t>
      </w:r>
    </w:p>
    <w:p>
      <w:pPr>
        <w:pStyle w:val="FirstParagraph"/>
      </w:pPr>
      <w:r>
        <w:t xml:space="preserve">Conversely, a reiteration with clear evidence that underlying trend remains within pricing assumptions should support the turnaround thesis.</w:t>
      </w:r>
    </w:p>
    <w:bookmarkEnd w:id="12"/>
    <w:bookmarkEnd w:id="13"/>
    <w:bookmarkStart w:id="16" w:name="X4459098bd3cd817d0a8f99bc86aa6bdbe663593"/>
    <w:p>
      <w:pPr>
        <w:pStyle w:val="Heading2"/>
      </w:pPr>
      <w:r>
        <w:t xml:space="preserve">The most important datapoint: medical-cost trend</w:t>
      </w:r>
    </w:p>
    <w:p>
      <w:pPr>
        <w:pStyle w:val="FirstParagraph"/>
      </w:pPr>
      <w:r>
        <w:t xml:space="preserve">The market is looking for an MCR near</w:t>
      </w:r>
      <w:r>
        <w:t xml:space="preserve"> </w:t>
      </w:r>
      <w:r>
        <w:rPr>
          <w:b/>
          <w:bCs/>
        </w:rPr>
        <w:t xml:space="preserve">88.5%</w:t>
      </w:r>
      <w:r>
        <w:t xml:space="preserve"> </w:t>
      </w:r>
      <w:r>
        <w:t xml:space="preserve">in 2Q—well above 1Q’s 83.9%, but consistent with the expected seasonal step-up. The more relevant issue is not the sequential increase itself; it is</w:t>
      </w:r>
      <w:r>
        <w:t xml:space="preserve"> </w:t>
      </w:r>
      <w:r>
        <w:rPr>
          <w:b/>
          <w:bCs/>
        </w:rPr>
        <w:t xml:space="preserve">why</w:t>
      </w:r>
      <w:r>
        <w:t xml:space="preserve"> </w:t>
      </w:r>
      <w:r>
        <w:t xml:space="preserve">MCR moves as it does.</w:t>
      </w:r>
    </w:p>
    <w:bookmarkStart w:id="14" w:name="constructive-read-through"/>
    <w:p>
      <w:pPr>
        <w:pStyle w:val="Heading3"/>
      </w:pPr>
      <w:r>
        <w:t xml:space="preserve">Constructive read-through</w:t>
      </w:r>
    </w:p>
    <w:p>
      <w:pPr>
        <w:pStyle w:val="FirstParagraph"/>
      </w:pPr>
      <w:r>
        <w:t xml:space="preserve">A favorable report would show:</w:t>
      </w:r>
    </w:p>
    <w:p>
      <w:pPr>
        <w:pStyle w:val="Compact"/>
        <w:numPr>
          <w:ilvl w:val="0"/>
          <w:numId w:val="1004"/>
        </w:numPr>
      </w:pPr>
      <w:r>
        <w:t xml:space="preserve">utilization holding near management’s expected elevated levels, rather than accelerating;</w:t>
      </w:r>
    </w:p>
    <w:p>
      <w:pPr>
        <w:pStyle w:val="Compact"/>
        <w:numPr>
          <w:ilvl w:val="0"/>
          <w:numId w:val="1004"/>
        </w:numPr>
      </w:pPr>
      <w:r>
        <w:t xml:space="preserve">continued modest favorability in government programs;</w:t>
      </w:r>
    </w:p>
    <w:p>
      <w:pPr>
        <w:pStyle w:val="Compact"/>
        <w:numPr>
          <w:ilvl w:val="0"/>
          <w:numId w:val="1004"/>
        </w:numPr>
      </w:pPr>
      <w:r>
        <w:t xml:space="preserve">no new adverse development in Medicare Advantage, commercial, or Medicaid;</w:t>
      </w:r>
    </w:p>
    <w:p>
      <w:pPr>
        <w:pStyle w:val="Compact"/>
        <w:numPr>
          <w:ilvl w:val="0"/>
          <w:numId w:val="1004"/>
        </w:numPr>
      </w:pPr>
      <w:r>
        <w:t xml:space="preserve">evidence that payment integrity, network actions, and more managed product designs are constraining outlier utilization;</w:t>
      </w:r>
    </w:p>
    <w:p>
      <w:pPr>
        <w:pStyle w:val="Compact"/>
        <w:numPr>
          <w:ilvl w:val="0"/>
          <w:numId w:val="1004"/>
        </w:numPr>
      </w:pPr>
      <w:r>
        <w:t xml:space="preserve">reserve development that is not required to deliver the quarter.</w:t>
      </w:r>
    </w:p>
    <w:bookmarkEnd w:id="14"/>
    <w:bookmarkStart w:id="15" w:name="negative-read-through"/>
    <w:p>
      <w:pPr>
        <w:pStyle w:val="Heading3"/>
      </w:pPr>
      <w:r>
        <w:t xml:space="preserve">Negative read-through</w:t>
      </w:r>
    </w:p>
    <w:p>
      <w:pPr>
        <w:pStyle w:val="FirstParagraph"/>
      </w:pPr>
      <w:r>
        <w:t xml:space="preserve">The risk case is a renewed gap between pricing and medical-cost trend—particularly if:</w:t>
      </w:r>
    </w:p>
    <w:p>
      <w:pPr>
        <w:pStyle w:val="Compact"/>
        <w:numPr>
          <w:ilvl w:val="0"/>
          <w:numId w:val="1005"/>
        </w:numPr>
      </w:pPr>
      <w:r>
        <w:t xml:space="preserve">outpatient, physician, ER, or inpatient intensity increases;</w:t>
      </w:r>
    </w:p>
    <w:p>
      <w:pPr>
        <w:pStyle w:val="Compact"/>
        <w:numPr>
          <w:ilvl w:val="0"/>
          <w:numId w:val="1005"/>
        </w:numPr>
      </w:pPr>
      <w:r>
        <w:t xml:space="preserve">provider coding/billing patterns worsen;</w:t>
      </w:r>
    </w:p>
    <w:p>
      <w:pPr>
        <w:pStyle w:val="Compact"/>
        <w:numPr>
          <w:ilvl w:val="0"/>
          <w:numId w:val="1005"/>
        </w:numPr>
      </w:pPr>
      <w:r>
        <w:t xml:space="preserve">Medicaid behavioral-health, pharmacy, or home-health costs remain poorly funded;</w:t>
      </w:r>
    </w:p>
    <w:p>
      <w:pPr>
        <w:pStyle w:val="Compact"/>
        <w:numPr>
          <w:ilvl w:val="0"/>
          <w:numId w:val="1005"/>
        </w:numPr>
      </w:pPr>
      <w:r>
        <w:t xml:space="preserve">commercial trend moves above pricing assumptions; or</w:t>
      </w:r>
    </w:p>
    <w:p>
      <w:pPr>
        <w:pStyle w:val="Compact"/>
        <w:numPr>
          <w:ilvl w:val="0"/>
          <w:numId w:val="1005"/>
        </w:numPr>
      </w:pPr>
      <w:r>
        <w:t xml:space="preserve">management’s discussion becomes less confident regarding the second half.</w:t>
      </w:r>
    </w:p>
    <w:p>
      <w:pPr>
        <w:pStyle w:val="FirstParagraph"/>
      </w:pPr>
      <w:r>
        <w:t xml:space="preserve">UNH entered 2026 pricing Medicare Advantage for roughly</w:t>
      </w:r>
      <w:r>
        <w:t xml:space="preserve"> </w:t>
      </w:r>
      <w:r>
        <w:rPr>
          <w:b/>
          <w:bCs/>
        </w:rPr>
        <w:t xml:space="preserve">10% trend</w:t>
      </w:r>
      <w:r>
        <w:t xml:space="preserve">, compared with an estimated 7%–8% trend in 2025. In 1Q, management said actual utilization remained elevated but within expectations, with modest favorability in government programs. Investors need that framing to remain intact after a fuller quarter of claims maturation.</w:t>
      </w:r>
    </w:p>
    <w:bookmarkEnd w:id="15"/>
    <w:bookmarkEnd w:id="16"/>
    <w:bookmarkStart w:id="18" w:name="X97b05de07b45d7c37359b84c723c7b11afccc23"/>
    <w:p>
      <w:pPr>
        <w:pStyle w:val="Heading2"/>
      </w:pPr>
      <w:r>
        <w:t xml:space="preserve">UnitedHealthcare: margin recovery is working, but membership is the trade-off</w:t>
      </w:r>
    </w:p>
    <w:p>
      <w:pPr>
        <w:pStyle w:val="FirstParagraph"/>
      </w:pPr>
      <w:r>
        <w:t xml:space="preserve">UnitedHealthcare’s 1Q operating earnings grew 9% year over year to</w:t>
      </w:r>
      <w:r>
        <w:t xml:space="preserve"> </w:t>
      </w:r>
      <w:r>
        <w:rPr>
          <w:b/>
          <w:bCs/>
        </w:rPr>
        <w:t xml:space="preserve">$5.7B</w:t>
      </w:r>
      <w:r>
        <w:t xml:space="preserve">, aided by pricing, affordability initiatives, and reserve development. Membership, however, declined:</w:t>
      </w:r>
    </w:p>
    <w:p>
      <w:pPr>
        <w:pStyle w:val="Compact"/>
        <w:numPr>
          <w:ilvl w:val="0"/>
          <w:numId w:val="1006"/>
        </w:numPr>
      </w:pPr>
      <w:r>
        <w:t xml:space="preserve">Total medical members:</w:t>
      </w:r>
      <w:r>
        <w:t xml:space="preserve"> </w:t>
      </w:r>
      <w:r>
        <w:rPr>
          <w:b/>
          <w:bCs/>
        </w:rPr>
        <w:t xml:space="preserve">49.1M</w:t>
      </w:r>
      <w:r>
        <w:t xml:space="preserve">, down about</w:t>
      </w:r>
      <w:r>
        <w:t xml:space="preserve"> </w:t>
      </w:r>
      <w:r>
        <w:rPr>
          <w:b/>
          <w:bCs/>
        </w:rPr>
        <w:t xml:space="preserve">1.1M</w:t>
      </w:r>
      <w:r>
        <w:t xml:space="preserve"> </w:t>
      </w:r>
      <w:r>
        <w:t xml:space="preserve">year over year;</w:t>
      </w:r>
    </w:p>
    <w:p>
      <w:pPr>
        <w:pStyle w:val="Compact"/>
        <w:numPr>
          <w:ilvl w:val="0"/>
          <w:numId w:val="1006"/>
        </w:numPr>
      </w:pPr>
      <w:r>
        <w:t xml:space="preserve">Medicare Advantage:</w:t>
      </w:r>
      <w:r>
        <w:t xml:space="preserve"> </w:t>
      </w:r>
      <w:r>
        <w:rPr>
          <w:b/>
          <w:bCs/>
        </w:rPr>
        <w:t xml:space="preserve">7.6M</w:t>
      </w:r>
      <w:r>
        <w:t xml:space="preserve">, down about</w:t>
      </w:r>
      <w:r>
        <w:t xml:space="preserve"> </w:t>
      </w:r>
      <w:r>
        <w:rPr>
          <w:b/>
          <w:bCs/>
        </w:rPr>
        <w:t xml:space="preserve">690,000</w:t>
      </w:r>
      <w:r>
        <w:t xml:space="preserve"> </w:t>
      </w:r>
      <w:r>
        <w:t xml:space="preserve">year over year;</w:t>
      </w:r>
    </w:p>
    <w:p>
      <w:pPr>
        <w:pStyle w:val="Compact"/>
        <w:numPr>
          <w:ilvl w:val="0"/>
          <w:numId w:val="1006"/>
        </w:numPr>
      </w:pPr>
      <w:r>
        <w:t xml:space="preserve">Medicaid:</w:t>
      </w:r>
      <w:r>
        <w:t xml:space="preserve"> </w:t>
      </w:r>
      <w:r>
        <w:rPr>
          <w:b/>
          <w:bCs/>
        </w:rPr>
        <w:t xml:space="preserve">7.2M</w:t>
      </w:r>
      <w:r>
        <w:t xml:space="preserve">, down about</w:t>
      </w:r>
      <w:r>
        <w:t xml:space="preserve"> </w:t>
      </w:r>
      <w:r>
        <w:rPr>
          <w:b/>
          <w:bCs/>
        </w:rPr>
        <w:t xml:space="preserve">410,000</w:t>
      </w:r>
      <w:r>
        <w:t xml:space="preserve"> </w:t>
      </w:r>
      <w:r>
        <w:t xml:space="preserve">year over year;</w:t>
      </w:r>
    </w:p>
    <w:p>
      <w:pPr>
        <w:pStyle w:val="Compact"/>
        <w:numPr>
          <w:ilvl w:val="0"/>
          <w:numId w:val="1006"/>
        </w:numPr>
      </w:pPr>
      <w:r>
        <w:t xml:space="preserve">Risk-based commercial:</w:t>
      </w:r>
      <w:r>
        <w:t xml:space="preserve"> </w:t>
      </w:r>
      <w:r>
        <w:rPr>
          <w:b/>
          <w:bCs/>
        </w:rPr>
        <w:t xml:space="preserve">7.7M</w:t>
      </w:r>
      <w:r>
        <w:t xml:space="preserve">, down about</w:t>
      </w:r>
      <w:r>
        <w:t xml:space="preserve"> </w:t>
      </w:r>
      <w:r>
        <w:rPr>
          <w:b/>
          <w:bCs/>
        </w:rPr>
        <w:t xml:space="preserve">685,000</w:t>
      </w:r>
      <w:r>
        <w:t xml:space="preserve"> </w:t>
      </w:r>
      <w:r>
        <w:t xml:space="preserve">year over year.</w:t>
      </w:r>
    </w:p>
    <w:p>
      <w:pPr>
        <w:pStyle w:val="FirstParagraph"/>
      </w:pPr>
      <w:r>
        <w:t xml:space="preserve">Management has intentionally chosen margin recovery and product durability over membership growth. It now expects total membership contraction around</w:t>
      </w:r>
      <w:r>
        <w:t xml:space="preserve"> </w:t>
      </w:r>
      <w:r>
        <w:rPr>
          <w:b/>
          <w:bCs/>
        </w:rPr>
        <w:t xml:space="preserve">1.3M</w:t>
      </w:r>
      <w:r>
        <w:t xml:space="preserve"> </w:t>
      </w:r>
      <w:r>
        <w:t xml:space="preserve">in 2026.</w:t>
      </w:r>
    </w:p>
    <w:p>
      <w:pPr>
        <w:pStyle w:val="BodyText"/>
      </w:pPr>
      <w:r>
        <w:t xml:space="preserve">That strategic choice is sensible if it restores earnings quality, but 2Q needs to show that attrition remains controlled and is not creating incremental mix or operating-deleverage pressure.</w:t>
      </w:r>
    </w:p>
    <w:bookmarkStart w:id="17" w:name="business-line-watch-items"/>
    <w:p>
      <w:pPr>
        <w:pStyle w:val="Heading3"/>
      </w:pPr>
      <w:r>
        <w:t xml:space="preserve">Business-line watch items</w:t>
      </w:r>
    </w:p>
    <w:p>
      <w:pPr>
        <w:pStyle w:val="FirstParagraph"/>
      </w:pPr>
      <w:r>
        <w:rPr>
          <w:b/>
          <w:bCs/>
        </w:rPr>
        <w:t xml:space="preserve">Medicare Advantage</w:t>
      </w:r>
    </w:p>
    <w:p>
      <w:pPr>
        <w:pStyle w:val="Compact"/>
        <w:numPr>
          <w:ilvl w:val="0"/>
          <w:numId w:val="1007"/>
        </w:numPr>
      </w:pPr>
      <w:r>
        <w:t xml:space="preserve">Medical trend versus pricing.</w:t>
      </w:r>
    </w:p>
    <w:p>
      <w:pPr>
        <w:pStyle w:val="Compact"/>
        <w:numPr>
          <w:ilvl w:val="0"/>
          <w:numId w:val="1007"/>
        </w:numPr>
      </w:pPr>
      <w:r>
        <w:t xml:space="preserve">Evidence that HMO-oriented offerings, product redesign, narrower networks, and clinical/payment-integrity actions are improving profitability.</w:t>
      </w:r>
    </w:p>
    <w:p>
      <w:pPr>
        <w:pStyle w:val="Compact"/>
        <w:numPr>
          <w:ilvl w:val="0"/>
          <w:numId w:val="1007"/>
        </w:numPr>
      </w:pPr>
      <w:r>
        <w:t xml:space="preserve">Commentary on the 2027 rate environment and confidence in reaching the upper half of the company’s 2%–4% long-term MA margin range.</w:t>
      </w:r>
    </w:p>
    <w:p>
      <w:pPr>
        <w:pStyle w:val="FirstParagraph"/>
      </w:pPr>
      <w:r>
        <w:rPr>
          <w:b/>
          <w:bCs/>
        </w:rPr>
        <w:t xml:space="preserve">Medicaid</w:t>
      </w:r>
    </w:p>
    <w:p>
      <w:pPr>
        <w:pStyle w:val="Compact"/>
        <w:numPr>
          <w:ilvl w:val="0"/>
          <w:numId w:val="1008"/>
        </w:numPr>
      </w:pPr>
      <w:r>
        <w:t xml:space="preserve">State-rate adequacy remains a challenge because medical-cost increases can precede rate updates by 12–18 months.</w:t>
      </w:r>
    </w:p>
    <w:p>
      <w:pPr>
        <w:pStyle w:val="Compact"/>
        <w:numPr>
          <w:ilvl w:val="0"/>
          <w:numId w:val="1008"/>
        </w:numPr>
      </w:pPr>
      <w:r>
        <w:t xml:space="preserve">Management expects negative margins in core Medicaid during 2026, with modest improvement beginning in 2027.</w:t>
      </w:r>
    </w:p>
    <w:p>
      <w:pPr>
        <w:pStyle w:val="Compact"/>
        <w:numPr>
          <w:ilvl w:val="0"/>
          <w:numId w:val="1008"/>
        </w:numPr>
      </w:pPr>
      <w:r>
        <w:t xml:space="preserve">Any improved rate actions or stabilization in behavioral-health and home-health costs would be a positive.</w:t>
      </w:r>
    </w:p>
    <w:p>
      <w:pPr>
        <w:pStyle w:val="FirstParagraph"/>
      </w:pPr>
      <w:r>
        <w:rPr>
          <w:b/>
          <w:bCs/>
        </w:rPr>
        <w:t xml:space="preserve">Commercial and ACA</w:t>
      </w:r>
    </w:p>
    <w:p>
      <w:pPr>
        <w:pStyle w:val="Compact"/>
        <w:numPr>
          <w:ilvl w:val="0"/>
          <w:numId w:val="1009"/>
        </w:numPr>
      </w:pPr>
      <w:r>
        <w:t xml:space="preserve">Commercial pricing is expected to recover margin, but elevated utilization and employer affordability pressure are risks.</w:t>
      </w:r>
    </w:p>
    <w:p>
      <w:pPr>
        <w:pStyle w:val="Compact"/>
        <w:numPr>
          <w:ilvl w:val="0"/>
          <w:numId w:val="1009"/>
        </w:numPr>
      </w:pPr>
      <w:r>
        <w:t xml:space="preserve">ACA membership is expected to fall by about one-third in 2026; UNH has pledged to rebate 2026 profits from these plans, limiting earnings contribution.</w:t>
      </w:r>
    </w:p>
    <w:bookmarkEnd w:id="17"/>
    <w:bookmarkEnd w:id="18"/>
    <w:bookmarkStart w:id="20" w:name="optum-health-the-largest-swing-factor"/>
    <w:p>
      <w:pPr>
        <w:pStyle w:val="Heading2"/>
      </w:pPr>
      <w:r>
        <w:t xml:space="preserve">Optum Health: the largest swing factor</w:t>
      </w:r>
    </w:p>
    <w:p>
      <w:pPr>
        <w:pStyle w:val="FirstParagraph"/>
      </w:pPr>
      <w:r>
        <w:t xml:space="preserve">Optum Health remains the main execution debate. In 1Q, adjusted earnings were</w:t>
      </w:r>
      <w:r>
        <w:t xml:space="preserve"> </w:t>
      </w:r>
      <w:r>
        <w:rPr>
          <w:b/>
          <w:bCs/>
        </w:rPr>
        <w:t xml:space="preserve">$1.3B</w:t>
      </w:r>
      <w:r>
        <w:t xml:space="preserve">, ahead of plan, supported by operational improvements and favorable prior-period development. The company highlighted better clinical navigation, higher patient-facing hours, improved scheduling, and tighter regional accountability.</w:t>
      </w:r>
    </w:p>
    <w:p>
      <w:pPr>
        <w:pStyle w:val="BodyText"/>
      </w:pPr>
      <w:r>
        <w:t xml:space="preserve">The problem is that Optum Health’s recovery still needs to prove durable. Its reported 1Q operating margin was</w:t>
      </w:r>
      <w:r>
        <w:t xml:space="preserve"> </w:t>
      </w:r>
      <w:r>
        <w:rPr>
          <w:b/>
          <w:bCs/>
        </w:rPr>
        <w:t xml:space="preserve">4.7%</w:t>
      </w:r>
      <w:r>
        <w:t xml:space="preserve">, down from 5.7% a year earlier, reflecting elevated medical costs, divestiture effects, and investment spending.</w:t>
      </w:r>
    </w:p>
    <w:bookmarkStart w:id="19" w:name="what-investors-need-to-hear"/>
    <w:p>
      <w:pPr>
        <w:pStyle w:val="Heading3"/>
      </w:pPr>
      <w:r>
        <w:t xml:space="preserve">What investors need to hear</w:t>
      </w:r>
    </w:p>
    <w:p>
      <w:pPr>
        <w:numPr>
          <w:ilvl w:val="0"/>
          <w:numId w:val="1010"/>
        </w:numPr>
      </w:pPr>
      <w:r>
        <w:rPr>
          <w:b/>
          <w:bCs/>
        </w:rPr>
        <w:t xml:space="preserve">Contract repricing and remediation</w:t>
      </w:r>
    </w:p>
    <w:p>
      <w:pPr>
        <w:pStyle w:val="Compact"/>
        <w:numPr>
          <w:ilvl w:val="1"/>
          <w:numId w:val="1011"/>
        </w:numPr>
      </w:pPr>
      <w:r>
        <w:t xml:space="preserve">UNH previously cited more than $600M of loss-contract exposure tied to arrangements it intends to reprice, de-delegate, or exit.</w:t>
      </w:r>
    </w:p>
    <w:p>
      <w:pPr>
        <w:pStyle w:val="Compact"/>
        <w:numPr>
          <w:ilvl w:val="1"/>
          <w:numId w:val="1011"/>
        </w:numPr>
      </w:pPr>
      <w:r>
        <w:t xml:space="preserve">Updates on the pace and economics of these negotiations are important for the 2027 bridge.</w:t>
      </w:r>
    </w:p>
    <w:p>
      <w:pPr>
        <w:numPr>
          <w:ilvl w:val="0"/>
          <w:numId w:val="1010"/>
        </w:numPr>
      </w:pPr>
      <w:r>
        <w:rPr>
          <w:b/>
          <w:bCs/>
        </w:rPr>
        <w:t xml:space="preserve">Value-based care margin progression</w:t>
      </w:r>
    </w:p>
    <w:p>
      <w:pPr>
        <w:pStyle w:val="Compact"/>
        <w:numPr>
          <w:ilvl w:val="1"/>
          <w:numId w:val="1012"/>
        </w:numPr>
      </w:pPr>
      <w:r>
        <w:t xml:space="preserve">Management’s long-term Optum Health margin objective is 6%–8%.</w:t>
      </w:r>
    </w:p>
    <w:p>
      <w:pPr>
        <w:pStyle w:val="Compact"/>
        <w:numPr>
          <w:ilvl w:val="1"/>
          <w:numId w:val="1012"/>
        </w:numPr>
      </w:pPr>
      <w:r>
        <w:t xml:space="preserve">It needs to show that newer, lower-margin cohorts are becoming more profitable as care-management programs mature and that it is avoiding uneconomic risk arrangements.</w:t>
      </w:r>
    </w:p>
    <w:p>
      <w:pPr>
        <w:numPr>
          <w:ilvl w:val="0"/>
          <w:numId w:val="1010"/>
        </w:numPr>
      </w:pPr>
      <w:r>
        <w:rPr>
          <w:b/>
          <w:bCs/>
        </w:rPr>
        <w:t xml:space="preserve">Operational productivity</w:t>
      </w:r>
    </w:p>
    <w:p>
      <w:pPr>
        <w:pStyle w:val="Compact"/>
        <w:numPr>
          <w:ilvl w:val="1"/>
          <w:numId w:val="1013"/>
        </w:numPr>
      </w:pPr>
      <w:r>
        <w:t xml:space="preserve">The company is standardizing scheduling and workflows, expanding digital access, and using more data-driven clinical review.</w:t>
      </w:r>
    </w:p>
    <w:p>
      <w:pPr>
        <w:pStyle w:val="Compact"/>
        <w:numPr>
          <w:ilvl w:val="1"/>
          <w:numId w:val="1013"/>
        </w:numPr>
      </w:pPr>
      <w:r>
        <w:t xml:space="preserve">Investors should look for quantified savings or evidence that these initiatives can offset cost pressure without impairing growth.</w:t>
      </w:r>
    </w:p>
    <w:p>
      <w:pPr>
        <w:pStyle w:val="FirstParagraph"/>
      </w:pPr>
      <w:r>
        <w:t xml:space="preserve">A positive Optum Health update would likely matter more to the stock than a modest consolidated EPS beat.</w:t>
      </w:r>
    </w:p>
    <w:bookmarkEnd w:id="19"/>
    <w:bookmarkEnd w:id="20"/>
    <w:bookmarkStart w:id="21" w:name="X3d2effef3a57620663027b648c0d19780d59eab"/>
    <w:p>
      <w:pPr>
        <w:pStyle w:val="Heading2"/>
      </w:pPr>
      <w:r>
        <w:t xml:space="preserve">Optum Rx and Optum Insight: back-half opportunities, not likely the near-term debate</w:t>
      </w:r>
    </w:p>
    <w:p>
      <w:pPr>
        <w:pStyle w:val="FirstParagraph"/>
      </w:pPr>
      <w:r>
        <w:rPr>
          <w:b/>
          <w:bCs/>
        </w:rPr>
        <w:t xml:space="preserve">Optum Rx</w:t>
      </w:r>
      <w:r>
        <w:t xml:space="preserve"> </w:t>
      </w:r>
      <w:r>
        <w:t xml:space="preserve">should benefit from new client wins and specialty-pharmacy growth, though lower scripts tied to UNH membership contraction and high specialty-drug costs remain offsets. Management said it onboarded more than 800 new clients for 2026, with much of the earnings benefit expected later in the year.</w:t>
      </w:r>
    </w:p>
    <w:p>
      <w:pPr>
        <w:pStyle w:val="BodyText"/>
      </w:pPr>
      <w:r>
        <w:rPr>
          <w:b/>
          <w:bCs/>
        </w:rPr>
        <w:t xml:space="preserve">Optum Insight</w:t>
      </w:r>
      <w:r>
        <w:t xml:space="preserve"> </w:t>
      </w:r>
      <w:r>
        <w:t xml:space="preserve">has potential upside from AI-first products, revenue-cycle-management modernization, and financial-services offerings. But this is more of a 2027-plus earnings story. Management is investing roughly</w:t>
      </w:r>
      <w:r>
        <w:t xml:space="preserve"> </w:t>
      </w:r>
      <w:r>
        <w:rPr>
          <w:b/>
          <w:bCs/>
        </w:rPr>
        <w:t xml:space="preserve">$1.5B</w:t>
      </w:r>
      <w:r>
        <w:t xml:space="preserve"> </w:t>
      </w:r>
      <w:r>
        <w:t xml:space="preserve">in AI initiatives in 2026 and has framed the expected returns as meaningful but not immediate.</w:t>
      </w:r>
    </w:p>
    <w:p>
      <w:pPr>
        <w:pStyle w:val="BodyText"/>
      </w:pPr>
      <w:r>
        <w:t xml:space="preserve">For 2Q, investors will mainly want confirmation that these investments are not creating unanticipated expense pressure and that the segment’s back-half weighting remains intact.</w:t>
      </w:r>
    </w:p>
    <w:bookmarkEnd w:id="21"/>
    <w:bookmarkStart w:id="22" w:name="X65e4dc15669820b4bb2ccac9422bfe209aaa9b9"/>
    <w:p>
      <w:pPr>
        <w:pStyle w:val="Heading2"/>
      </w:pPr>
      <w:r>
        <w:t xml:space="preserve">Capital allocation and balance-sheet considerations</w:t>
      </w:r>
    </w:p>
    <w:p>
      <w:pPr>
        <w:pStyle w:val="FirstParagraph"/>
      </w:pPr>
      <w:r>
        <w:t xml:space="preserve">UNH generated</w:t>
      </w:r>
      <w:r>
        <w:t xml:space="preserve"> </w:t>
      </w:r>
      <w:r>
        <w:rPr>
          <w:b/>
          <w:bCs/>
        </w:rPr>
        <w:t xml:space="preserve">$8.9B</w:t>
      </w:r>
      <w:r>
        <w:t xml:space="preserve"> </w:t>
      </w:r>
      <w:r>
        <w:t xml:space="preserve">of operating cash flow in 1Q, or 1.4x net income, and had $28.0B of cash and equivalents at quarter-end. The company targets a debt-to-capital ratio of roughly 40% by year-end and accelerated share repurchases, with at least $2B expected through the end of 2Q.</w:t>
      </w:r>
    </w:p>
    <w:p>
      <w:pPr>
        <w:pStyle w:val="BodyText"/>
      </w:pPr>
      <w:r>
        <w:t xml:space="preserve">Capital return is supportive, but it is secondary to execution. A durable recovery in medical margins and Optum Health profitability would be more important than incremental buyback commentary.</w:t>
      </w:r>
    </w:p>
    <w:bookmarkEnd w:id="22"/>
    <w:bookmarkStart w:id="26" w:name="earnings-scenarios"/>
    <w:p>
      <w:pPr>
        <w:pStyle w:val="Heading2"/>
      </w:pPr>
      <w:r>
        <w:t xml:space="preserve">Earnings scenarios</w:t>
      </w:r>
    </w:p>
    <w:bookmarkStart w:id="23" w:name="bull-case"/>
    <w:p>
      <w:pPr>
        <w:pStyle w:val="Heading3"/>
      </w:pPr>
      <w:r>
        <w:t xml:space="preserve">Bull case</w:t>
      </w:r>
    </w:p>
    <w:p>
      <w:pPr>
        <w:pStyle w:val="Compact"/>
        <w:numPr>
          <w:ilvl w:val="0"/>
          <w:numId w:val="1014"/>
        </w:numPr>
      </w:pPr>
      <w:r>
        <w:t xml:space="preserve">EPS beats consensus, with the beat driven by operating performance rather than reserve releases.</w:t>
      </w:r>
    </w:p>
    <w:p>
      <w:pPr>
        <w:pStyle w:val="Compact"/>
        <w:numPr>
          <w:ilvl w:val="0"/>
          <w:numId w:val="1014"/>
        </w:numPr>
      </w:pPr>
      <w:r>
        <w:t xml:space="preserve">MCR is at or better than expectations, with trend stable across MA and commercial.</w:t>
      </w:r>
    </w:p>
    <w:p>
      <w:pPr>
        <w:pStyle w:val="Compact"/>
        <w:numPr>
          <w:ilvl w:val="0"/>
          <w:numId w:val="1014"/>
        </w:numPr>
      </w:pPr>
      <w:r>
        <w:t xml:space="preserve">Full-year EPS outlook is reaffirmed or modestly raised.</w:t>
      </w:r>
    </w:p>
    <w:p>
      <w:pPr>
        <w:pStyle w:val="Compact"/>
        <w:numPr>
          <w:ilvl w:val="0"/>
          <w:numId w:val="1014"/>
        </w:numPr>
      </w:pPr>
      <w:r>
        <w:t xml:space="preserve">Optum Health demonstrates tangible progress on contract remediation, clinical execution, and productivity.</w:t>
      </w:r>
    </w:p>
    <w:p>
      <w:pPr>
        <w:pStyle w:val="Compact"/>
        <w:numPr>
          <w:ilvl w:val="0"/>
          <w:numId w:val="1014"/>
        </w:numPr>
      </w:pPr>
      <w:r>
        <w:t xml:space="preserve">Management increases conviction in 2027 margin recovery.</w:t>
      </w:r>
    </w:p>
    <w:bookmarkEnd w:id="23"/>
    <w:bookmarkStart w:id="24" w:name="base-case"/>
    <w:p>
      <w:pPr>
        <w:pStyle w:val="Heading3"/>
      </w:pPr>
      <w:r>
        <w:t xml:space="preserve">Base case</w:t>
      </w:r>
    </w:p>
    <w:p>
      <w:pPr>
        <w:pStyle w:val="Compact"/>
        <w:numPr>
          <w:ilvl w:val="0"/>
          <w:numId w:val="1015"/>
        </w:numPr>
      </w:pPr>
      <w:r>
        <w:t xml:space="preserve">EPS is around consensus.</w:t>
      </w:r>
    </w:p>
    <w:p>
      <w:pPr>
        <w:pStyle w:val="Compact"/>
        <w:numPr>
          <w:ilvl w:val="0"/>
          <w:numId w:val="1015"/>
        </w:numPr>
      </w:pPr>
      <w:r>
        <w:t xml:space="preserve">MCR rises materially from 1Q as expected but remains consistent with full-year assumptions.</w:t>
      </w:r>
    </w:p>
    <w:p>
      <w:pPr>
        <w:pStyle w:val="Compact"/>
        <w:numPr>
          <w:ilvl w:val="0"/>
          <w:numId w:val="1015"/>
        </w:numPr>
      </w:pPr>
      <w:r>
        <w:t xml:space="preserve">Guidance is maintained.</w:t>
      </w:r>
    </w:p>
    <w:p>
      <w:pPr>
        <w:pStyle w:val="Compact"/>
        <w:numPr>
          <w:ilvl w:val="0"/>
          <w:numId w:val="1015"/>
        </w:numPr>
      </w:pPr>
      <w:r>
        <w:t xml:space="preserve">Management reiterates that 1H was structurally stronger than 2H and frames 2027 as the next step in the recovery.</w:t>
      </w:r>
    </w:p>
    <w:bookmarkEnd w:id="24"/>
    <w:bookmarkStart w:id="25" w:name="bear-case"/>
    <w:p>
      <w:pPr>
        <w:pStyle w:val="Heading3"/>
      </w:pPr>
      <w:r>
        <w:t xml:space="preserve">Bear case</w:t>
      </w:r>
    </w:p>
    <w:p>
      <w:pPr>
        <w:pStyle w:val="Compact"/>
        <w:numPr>
          <w:ilvl w:val="0"/>
          <w:numId w:val="1016"/>
        </w:numPr>
      </w:pPr>
      <w:r>
        <w:t xml:space="preserve">MCR misses due to utilization acceleration, unfavorable reserve development, or continued Medicaid pressure.</w:t>
      </w:r>
    </w:p>
    <w:p>
      <w:pPr>
        <w:pStyle w:val="Compact"/>
        <w:numPr>
          <w:ilvl w:val="0"/>
          <w:numId w:val="1016"/>
        </w:numPr>
      </w:pPr>
      <w:r>
        <w:t xml:space="preserve">Guidance is reduced or maintained with noticeably weaker language around the second half.</w:t>
      </w:r>
    </w:p>
    <w:p>
      <w:pPr>
        <w:pStyle w:val="Compact"/>
        <w:numPr>
          <w:ilvl w:val="0"/>
          <w:numId w:val="1016"/>
        </w:numPr>
      </w:pPr>
      <w:r>
        <w:t xml:space="preserve">Optum Health’s favorable 1Q performance appears substantially reserve-driven.</w:t>
      </w:r>
    </w:p>
    <w:p>
      <w:pPr>
        <w:pStyle w:val="Compact"/>
        <w:numPr>
          <w:ilvl w:val="0"/>
          <w:numId w:val="1016"/>
        </w:numPr>
      </w:pPr>
      <w:r>
        <w:t xml:space="preserve">Membership losses or contract exits exceed prior expectations.</w:t>
      </w:r>
    </w:p>
    <w:p>
      <w:pPr>
        <w:pStyle w:val="Compact"/>
        <w:numPr>
          <w:ilvl w:val="0"/>
          <w:numId w:val="1016"/>
        </w:numPr>
      </w:pPr>
      <w:r>
        <w:t xml:space="preserve">Management signals that MA or value-based-care recovery will take longer than expected.</w:t>
      </w:r>
    </w:p>
    <w:bookmarkEnd w:id="25"/>
    <w:bookmarkEnd w:id="26"/>
    <w:bookmarkStart w:id="27" w:name="bottom-line"/>
    <w:p>
      <w:pPr>
        <w:pStyle w:val="Heading2"/>
      </w:pPr>
      <w:r>
        <w:t xml:space="preserve">Bottom line</w:t>
      </w:r>
    </w:p>
    <w:p>
      <w:pPr>
        <w:pStyle w:val="FirstParagraph"/>
      </w:pPr>
      <w:r>
        <w:t xml:space="preserve">UNH is no longer priced as though a recovery is impossible—the share price has already reflected improving confidence. Therefore,</w:t>
      </w:r>
      <w:r>
        <w:t xml:space="preserve"> </w:t>
      </w:r>
      <w:r>
        <w:rPr>
          <w:b/>
          <w:bCs/>
        </w:rPr>
        <w:t xml:space="preserve">the hurdle is now evidence of repeatability</w:t>
      </w:r>
      <w:r>
        <w:t xml:space="preserve">.</w:t>
      </w:r>
    </w:p>
    <w:p>
      <w:pPr>
        <w:pStyle w:val="BodyText"/>
      </w:pPr>
      <w:r>
        <w:t xml:space="preserve">The most constructive outcome is not necessarily a large EPS beat. It is a report showing that:</w:t>
      </w:r>
    </w:p>
    <w:p>
      <w:pPr>
        <w:pStyle w:val="Compact"/>
        <w:numPr>
          <w:ilvl w:val="0"/>
          <w:numId w:val="1017"/>
        </w:numPr>
      </w:pPr>
      <w:r>
        <w:t xml:space="preserve">elevated medical trend remains</w:t>
      </w:r>
      <w:r>
        <w:t xml:space="preserve"> </w:t>
      </w:r>
      <w:r>
        <w:rPr>
          <w:b/>
          <w:bCs/>
        </w:rPr>
        <w:t xml:space="preserve">priced for and manageable</w:t>
      </w:r>
      <w:r>
        <w:t xml:space="preserve">;</w:t>
      </w:r>
    </w:p>
    <w:p>
      <w:pPr>
        <w:pStyle w:val="Compact"/>
        <w:numPr>
          <w:ilvl w:val="0"/>
          <w:numId w:val="1017"/>
        </w:numPr>
      </w:pPr>
      <w:r>
        <w:t xml:space="preserve">the 1Q margin recovery was not predominantly an accounting or seasonal event;</w:t>
      </w:r>
    </w:p>
    <w:p>
      <w:pPr>
        <w:pStyle w:val="Compact"/>
        <w:numPr>
          <w:ilvl w:val="0"/>
          <w:numId w:val="1017"/>
        </w:numPr>
      </w:pPr>
      <w:r>
        <w:t xml:space="preserve">Optum Health is improving through operational discipline and better risk selection; and</w:t>
      </w:r>
    </w:p>
    <w:p>
      <w:pPr>
        <w:pStyle w:val="Compact"/>
        <w:numPr>
          <w:ilvl w:val="0"/>
          <w:numId w:val="1017"/>
        </w:numPr>
      </w:pPr>
      <w:r>
        <w:t xml:space="preserve">the company can hold its &gt;$18.25 full-year EPS framework while building a credible 2027 acceleration path.</w:t>
      </w:r>
    </w:p>
    <w:p>
      <w:pPr>
        <w:pStyle w:val="FirstParagraph"/>
      </w:pPr>
      <w:r>
        <w:t xml:space="preserve">The key risk is that the 2Q claims experience reveals that pricing still trails utilization. If that occurs, the market is likely to reassess both the full-year outlook and the durability of the broader turnaround.</w:t>
      </w:r>
    </w:p>
    <w:p>
      <w:r>
        <w:pict>
          <v:rect style="width:0;height:1.5pt" o:hralign="center" o:hrstd="t" o:hr="t"/>
        </w:pict>
      </w:r>
    </w:p>
    <w:p>
      <w:pPr>
        <w:pStyle w:val="FirstParagraph"/>
      </w:pPr>
      <w:r>
        <w:rPr>
          <w:i/>
          <w:iCs/>
        </w:rPr>
        <w:t xml:space="preserve">Primary research used: UnitedHealth Group’s 1Q26 earnings call and 1Q26 Form 10-Q; UNH 2Q25 earnings call for historical context; market data and current earnings-expectation digest through July 15, 2026.</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2026-07-16T01:13:20Z</dcterms:created>
  <dcterms:modified xsi:type="dcterms:W3CDTF">2026-07-16T01:13:20Z</dcterms:modified>
</cp:coreProperties>
</file>

<file path=docProps/custom.xml><?xml version="1.0" encoding="utf-8"?>
<Properties xmlns="http://schemas.openxmlformats.org/officeDocument/2006/custom-properties" xmlns:vt="http://schemas.openxmlformats.org/officeDocument/2006/docPropsVTypes"/>
</file>