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USB (U.S. Bancorp) before writing the preview. Let me start by gathering recent filings, earnings materials, and news.Let me read the most recent earnings materials and gather recent news over a broader window.Now let me get the Q1 2026 call for forward guidance, recent stock price, and consensus estimates.Let me gather recent news and consensus estimates to round out the preview.Let me search for analyst consensus estimates and any recent USB-specific developments.Let me read the CCAR/dividend press release and retry the web search.I have what I need. Let me compute a few guidance-implied figures for the preview.# U.S. Bancorp (USB) — Q2 2026 Earnings Preview</w:t>
      </w:r>
    </w:p>
    <w:bookmarkStart w:id="9" w:name="Xc565bd129043194ef16bfbc66446f3c85e91cc0"/>
    <w:p>
      <w:pPr>
        <w:pStyle w:val="Heading3"/>
      </w:pPr>
      <w:r>
        <w:t xml:space="preserve">Reports Thursday, July 16, 2026 (before market open) | 2026Q2 Earnings Call</w:t>
      </w:r>
    </w:p>
    <w:p>
      <w:r>
        <w:pict>
          <v:rect style="width:0;height:1.5pt" o:hralign="center" o:hrstd="t" o:hr="t"/>
        </w:pict>
      </w:r>
    </w:p>
    <w:bookmarkEnd w:id="9"/>
    <w:bookmarkStart w:id="10" w:name="bottom-line-up-front"/>
    <w:p>
      <w:pPr>
        <w:pStyle w:val="Heading2"/>
      </w:pPr>
      <w:r>
        <w:t xml:space="preserve">Bottom Line Up Front</w:t>
      </w:r>
    </w:p>
    <w:p>
      <w:pPr>
        <w:pStyle w:val="FirstParagraph"/>
      </w:pPr>
      <w:r>
        <w:t xml:space="preserve">USB heads into its Q2 print with strong momentum, a stock near multi-year highs, and a management team that has now strung together seven consecutive quarters of positive operating leverage. The debate is no longer about capital adequacy or balance-sheet repair — it's about whether USB can convert its investment cycle (Amazon, BTIG, NFL, California, payments) into accelerating revenue growth while sustaining its efficiency gains. Management's own Q2 guidance points to a strong quarter, and the read-through from peers that have already reported (JPMorgan, Wells Fargo, BNY, M&amp;T) is broadly favorable, especially for capital markets and fee income.</w:t>
      </w:r>
    </w:p>
    <w:p>
      <w:pPr>
        <w:pStyle w:val="BodyText"/>
      </w:pPr>
      <w:r>
        <w:rPr>
          <w:b/>
          <w:bCs/>
        </w:rPr>
        <w:t xml:space="preserve">Key things to watch:</w:t>
      </w:r>
      <w:r>
        <w:t xml:space="preserve"> </w:t>
      </w:r>
      <w:r>
        <w:t xml:space="preserve">(1) whether fee revenue lands at the high end of guidance on continued capital-markets strength; (2) NIM trajectory and the path to 3%; (3) confirmation/timing of the BTIG close; (4) credit normalization and NDFI disclosures; and (5) the pace of the buyback step-up.</w:t>
      </w:r>
    </w:p>
    <w:p>
      <w:r>
        <w:pict>
          <v:rect style="width:0;height:1.5pt" o:hralign="center" o:hrstd="t" o:hr="t"/>
        </w:pict>
      </w:r>
    </w:p>
    <w:bookmarkEnd w:id="10"/>
    <w:bookmarkStart w:id="11" w:name="Xa352af103014f5006d11e989f4ed3b6c06a8910"/>
    <w:p>
      <w:pPr>
        <w:pStyle w:val="Heading2"/>
      </w:pPr>
      <w:r>
        <w:t xml:space="preserve">1. What Management Told Us to Expect (Q2 Guidance)</w:t>
      </w:r>
    </w:p>
    <w:p>
      <w:pPr>
        <w:pStyle w:val="FirstParagraph"/>
      </w:pPr>
      <w:r>
        <w:t xml:space="preserve">On the Q1 call (April 16), CFO John Stern gave specific Q2 2026 guidance versus Q2 2025: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Guidance (YoY)</w:t>
            </w:r>
          </w:p>
        </w:tc>
        <w:tc>
          <w:tcPr/>
          <w:p>
            <w:pPr>
              <w:pStyle w:val="Compact"/>
            </w:pPr>
            <w:r>
              <w:t xml:space="preserve">Implied Q2'26 level</w:t>
            </w:r>
          </w:p>
        </w:tc>
        <w:tc>
          <w:tcPr/>
          <w:p>
            <w:pPr>
              <w:pStyle w:val="Compact"/>
            </w:pPr>
            <w:r>
              <w:t xml:space="preserve">Q2'25 base</w:t>
            </w:r>
          </w:p>
        </w:tc>
      </w:tr>
      <w:tr>
        <w:tc>
          <w:tcPr/>
          <w:p>
            <w:pPr>
              <w:pStyle w:val="Compact"/>
            </w:pPr>
            <w:r>
              <w:t xml:space="preserve">Net interest income (FTE)</w:t>
            </w:r>
          </w:p>
        </w:tc>
        <w:tc>
          <w:tcPr/>
          <w:p>
            <w:pPr>
              <w:pStyle w:val="Compact"/>
            </w:pPr>
            <w:r>
              <w:rPr>
                <w:b/>
                <w:bCs/>
              </w:rPr>
              <w:t xml:space="preserve">+6% to +7%</w:t>
            </w:r>
          </w:p>
        </w:tc>
        <w:tc>
          <w:tcPr/>
          <w:p>
            <w:pPr>
              <w:pStyle w:val="Compact"/>
            </w:pPr>
            <w:r>
              <w:t xml:space="preserve">~$4.33–4.37B</w:t>
            </w:r>
          </w:p>
        </w:tc>
        <w:tc>
          <w:tcPr/>
          <w:p>
            <w:pPr>
              <w:pStyle w:val="Compact"/>
            </w:pPr>
            <w:r>
              <w:t xml:space="preserve">$4.08B</w:t>
            </w:r>
          </w:p>
        </w:tc>
      </w:tr>
      <w:tr>
        <w:tc>
          <w:tcPr/>
          <w:p>
            <w:pPr>
              <w:pStyle w:val="Compact"/>
            </w:pPr>
            <w:r>
              <w:t xml:space="preserve">Total fee revenue</w:t>
            </w:r>
          </w:p>
        </w:tc>
        <w:tc>
          <w:tcPr/>
          <w:p>
            <w:pPr>
              <w:pStyle w:val="Compact"/>
            </w:pPr>
            <w:r>
              <w:rPr>
                <w:b/>
                <w:bCs/>
              </w:rPr>
              <w:t xml:space="preserve">+6% to +7%</w:t>
            </w:r>
          </w:p>
        </w:tc>
        <w:tc>
          <w:tcPr/>
          <w:p>
            <w:pPr>
              <w:pStyle w:val="Compact"/>
            </w:pPr>
            <w:r>
              <w:t xml:space="preserve">~$3.16–3.19B</w:t>
            </w:r>
          </w:p>
        </w:tc>
        <w:tc>
          <w:tcPr/>
          <w:p>
            <w:pPr>
              <w:pStyle w:val="Compact"/>
            </w:pPr>
            <w:r>
              <w:t xml:space="preserve">$2.98B</w:t>
            </w:r>
          </w:p>
        </w:tc>
      </w:tr>
      <w:tr>
        <w:tc>
          <w:tcPr/>
          <w:p>
            <w:pPr>
              <w:pStyle w:val="Compact"/>
            </w:pPr>
            <w:r>
              <w:t xml:space="preserve">Noninterest expense</w:t>
            </w:r>
          </w:p>
        </w:tc>
        <w:tc>
          <w:tcPr/>
          <w:p>
            <w:pPr>
              <w:pStyle w:val="Compact"/>
            </w:pPr>
            <w:r>
              <w:rPr>
                <w:b/>
                <w:bCs/>
              </w:rPr>
              <w:t xml:space="preserve">+3% to +4%</w:t>
            </w:r>
          </w:p>
        </w:tc>
        <w:tc>
          <w:tcPr/>
          <w:p>
            <w:pPr>
              <w:pStyle w:val="Compact"/>
            </w:pPr>
            <w:r>
              <w:t xml:space="preserve">~$4.31–4.35B</w:t>
            </w:r>
          </w:p>
        </w:tc>
        <w:tc>
          <w:tcPr/>
          <w:p>
            <w:pPr>
              <w:pStyle w:val="Compact"/>
            </w:pPr>
            <w:r>
              <w:t xml:space="preserve">$4.18B</w:t>
            </w:r>
          </w:p>
        </w:tc>
      </w:tr>
    </w:tbl>
    <w:p>
      <w:pPr>
        <w:pStyle w:val="BodyText"/>
      </w:pPr>
      <w:r>
        <w:t xml:space="preserve">This implies roughly</w:t>
      </w:r>
      <w:r>
        <w:t xml:space="preserve"> </w:t>
      </w:r>
      <w:r>
        <w:rPr>
          <w:b/>
          <w:bCs/>
        </w:rPr>
        <w:t xml:space="preserve">~300 bps of positive operating leverage</w:t>
      </w:r>
      <w:r>
        <w:t xml:space="preserve"> </w:t>
      </w:r>
      <w:r>
        <w:t xml:space="preserve">in Q2 — well ahead of the full-year "200 bps or more" target. For context, Q2 2025 diluted EPS was ~$1.11; the revenue/expense trajectory above supports meaningful year-over-year EPS growth (Q1 2026 EPS was $1.18, +15% YoY).</w:t>
      </w:r>
    </w:p>
    <w:p>
      <w:pPr>
        <w:pStyle w:val="BodyText"/>
      </w:pPr>
      <w:r>
        <w:rPr>
          <w:b/>
          <w:bCs/>
        </w:rPr>
        <w:t xml:space="preserve">Nuance worth flagging:</w:t>
      </w:r>
      <w:r>
        <w:t xml:space="preserve"> </w:t>
      </w:r>
      <w:r>
        <w:t xml:space="preserve">management deliberately kept the</w:t>
      </w:r>
      <w:r>
        <w:t xml:space="preserve"> </w:t>
      </w:r>
      <w:r>
        <w:rPr>
          <w:i/>
          <w:iCs/>
        </w:rPr>
        <w:t xml:space="preserve">full-year</w:t>
      </w:r>
      <w:r>
        <w:t xml:space="preserve"> </w:t>
      </w:r>
      <w:r>
        <w:t xml:space="preserve">revenue guide at +4–6% and the NII guide at mid-single digits despite strong loan pipelines, citing rate-path uncertainty (mortgage prepayments, credit spreads). But Stern was explicit that his</w:t>
      </w:r>
      <w:r>
        <w:t xml:space="preserve"> </w:t>
      </w:r>
      <w:r>
        <w:rPr>
          <w:b/>
          <w:bCs/>
        </w:rPr>
        <w:t xml:space="preserve">bias is toward the high end for fees</w:t>
      </w:r>
      <w:r>
        <w:t xml:space="preserve"> </w:t>
      </w:r>
      <w:r>
        <w:t xml:space="preserve">given visible pipelines in capital markets, payments, and institutional services. Expect the fee line to be the swing factor on any beat.</w:t>
      </w:r>
    </w:p>
    <w:p>
      <w:pPr>
        <w:pStyle w:val="BodyText"/>
      </w:pPr>
      <w:r>
        <w:rPr>
          <w:b/>
          <w:bCs/>
        </w:rPr>
        <w:t xml:space="preserve">Note on BTIG:</w:t>
      </w:r>
      <w:r>
        <w:t xml:space="preserve"> </w:t>
      </w:r>
      <w:r>
        <w:t xml:space="preserve">guidance</w:t>
      </w:r>
      <w:r>
        <w:t xml:space="preserve"> </w:t>
      </w:r>
      <w:r>
        <w:rPr>
          <w:b/>
          <w:bCs/>
        </w:rPr>
        <w:t xml:space="preserve">excludes</w:t>
      </w:r>
      <w:r>
        <w:t xml:space="preserve"> </w:t>
      </w:r>
      <w:r>
        <w:t xml:space="preserve">the pending BTIG acquisition (~$200M of fee revenue per quarter), which was expected to close in the back half of Q2. Watch for a close confirmation — if it lands in the quarter, reported fees could get a partial-quarter lift, but management said not to expect much P&amp;L impact until 2H.</w:t>
      </w:r>
    </w:p>
    <w:p>
      <w:r>
        <w:pict>
          <v:rect style="width:0;height:1.5pt" o:hralign="center" o:hrstd="t" o:hr="t"/>
        </w:pict>
      </w:r>
    </w:p>
    <w:bookmarkEnd w:id="11"/>
    <w:bookmarkStart w:id="12" w:name="X645dca030458ed225f37d9e58b939c26def4887"/>
    <w:p>
      <w:pPr>
        <w:pStyle w:val="Heading2"/>
      </w:pPr>
      <w:r>
        <w:t xml:space="preserve">2. Fee Income — The Key to a Beat</w:t>
      </w:r>
    </w:p>
    <w:p>
      <w:pPr>
        <w:pStyle w:val="FirstParagraph"/>
      </w:pPr>
      <w:r>
        <w:t xml:space="preserve">Fee revenue is where USB has the most upside and the clearest peer read-through:</w:t>
      </w:r>
    </w:p>
    <w:p>
      <w:pPr>
        <w:pStyle w:val="Compact"/>
        <w:numPr>
          <w:ilvl w:val="0"/>
          <w:numId w:val="1001"/>
        </w:numPr>
      </w:pPr>
      <w:r>
        <w:rPr>
          <w:b/>
          <w:bCs/>
        </w:rPr>
        <w:t xml:space="preserve">Capital markets</w:t>
      </w:r>
      <w:r>
        <w:t xml:space="preserve"> </w:t>
      </w:r>
      <w:r>
        <w:t xml:space="preserve">grew ~30% YoY in Q1 (fixed income, FX, derivatives, commodities). The banks reporting ahead of USB posted</w:t>
      </w:r>
      <w:r>
        <w:t xml:space="preserve"> </w:t>
      </w:r>
      <w:r>
        <w:rPr>
          <w:b/>
          <w:bCs/>
        </w:rPr>
        <w:t xml:space="preserve">record trading and investment-banking revenue</w:t>
      </w:r>
      <w:r>
        <w:t xml:space="preserve"> </w:t>
      </w:r>
      <w:r>
        <w:t xml:space="preserve">in the June quarter, with capital-markets-levered names leading the sector. This is a strong tailwind.</w:t>
      </w:r>
    </w:p>
    <w:p>
      <w:pPr>
        <w:pStyle w:val="Compact"/>
        <w:numPr>
          <w:ilvl w:val="0"/>
          <w:numId w:val="1001"/>
        </w:numPr>
      </w:pPr>
      <w:r>
        <w:rPr>
          <w:b/>
          <w:bCs/>
        </w:rPr>
        <w:t xml:space="preserve">Payments</w:t>
      </w:r>
      <w:r>
        <w:t xml:space="preserve"> </w:t>
      </w:r>
      <w:r>
        <w:t xml:space="preserve">is inflecting: card revenue, merchant processing (mid-single digits), and corporate payments are all improving. Critically, the corporate payments drag from last year's government-spending pullback</w:t>
      </w:r>
      <w:r>
        <w:t xml:space="preserve"> </w:t>
      </w:r>
      <w:r>
        <w:rPr>
          <w:b/>
          <w:bCs/>
        </w:rPr>
        <w:t xml:space="preserve">laps in Q2 and fully clears in Q3</w:t>
      </w:r>
      <w:r>
        <w:t xml:space="preserve"> </w:t>
      </w:r>
      <w:r>
        <w:t xml:space="preserve">— so this is the quarter the year-ago comparison starts to ease.</w:t>
      </w:r>
    </w:p>
    <w:p>
      <w:pPr>
        <w:pStyle w:val="Compact"/>
        <w:numPr>
          <w:ilvl w:val="0"/>
          <w:numId w:val="1001"/>
        </w:numPr>
      </w:pPr>
      <w:r>
        <w:rPr>
          <w:b/>
          <w:bCs/>
        </w:rPr>
        <w:t xml:space="preserve">Trust &amp; investment management</w:t>
      </w:r>
      <w:r>
        <w:t xml:space="preserve"> </w:t>
      </w:r>
      <w:r>
        <w:t xml:space="preserve">(+~10% YoY in Q1) benefits from favorable markets and business growth.</w:t>
      </w:r>
    </w:p>
    <w:p>
      <w:pPr>
        <w:pStyle w:val="FirstParagraph"/>
      </w:pPr>
      <w:r>
        <w:t xml:space="preserve">Watch merchant processing</w:t>
      </w:r>
      <w:r>
        <w:t xml:space="preserve"> </w:t>
      </w:r>
      <w:r>
        <w:rPr>
          <w:i/>
          <w:iCs/>
        </w:rPr>
        <w:t xml:space="preserve">volume</w:t>
      </w:r>
      <w:r>
        <w:t xml:space="preserve"> </w:t>
      </w:r>
      <w:r>
        <w:t xml:space="preserve">trends (soft the last two quarters, though management attributes this to 1–2 client exits, not underlying weakness) and the credit-card acquisition-to-revenue lag (10%+ account growth taking 4–6 quarters to show up in fees).</w:t>
      </w:r>
    </w:p>
    <w:p>
      <w:r>
        <w:pict>
          <v:rect style="width:0;height:1.5pt" o:hralign="center" o:hrstd="t" o:hr="t"/>
        </w:pict>
      </w:r>
    </w:p>
    <w:bookmarkEnd w:id="12"/>
    <w:bookmarkStart w:id="13" w:name="X5305541dd410b10bccdaf35828756802a1b2b04"/>
    <w:p>
      <w:pPr>
        <w:pStyle w:val="Heading2"/>
      </w:pPr>
      <w:r>
        <w:t xml:space="preserve">3. Net Interest Income &amp; Margin</w:t>
      </w:r>
    </w:p>
    <w:p>
      <w:pPr>
        <w:pStyle w:val="Compact"/>
        <w:numPr>
          <w:ilvl w:val="0"/>
          <w:numId w:val="1002"/>
        </w:numPr>
      </w:pPr>
      <w:r>
        <w:t xml:space="preserve">NIM was</w:t>
      </w:r>
      <w:r>
        <w:t xml:space="preserve"> </w:t>
      </w:r>
      <w:r>
        <w:rPr>
          <w:b/>
          <w:bCs/>
        </w:rPr>
        <w:t xml:space="preserve">2.77%</w:t>
      </w:r>
      <w:r>
        <w:t xml:space="preserve"> </w:t>
      </w:r>
      <w:r>
        <w:t xml:space="preserve">in Q1, flat sequentially; management reiterated a path to</w:t>
      </w:r>
      <w:r>
        <w:t xml:space="preserve"> </w:t>
      </w:r>
      <w:r>
        <w:rPr>
          <w:b/>
          <w:bCs/>
        </w:rPr>
        <w:t xml:space="preserve">3% during 2027</w:t>
      </w:r>
      <w:r>
        <w:t xml:space="preserve">.</w:t>
      </w:r>
    </w:p>
    <w:p>
      <w:pPr>
        <w:pStyle w:val="Compact"/>
        <w:numPr>
          <w:ilvl w:val="0"/>
          <w:numId w:val="1002"/>
        </w:numPr>
      </w:pPr>
      <w:r>
        <w:t xml:space="preserve">Positive drivers: strong core loan growth, deposit-pricing stability, improving earning-asset mix. Offsets: some large-corporate loans coming on at tighter spreads, and elevated mortgage refi/prepay activity (a rate-sensitive swing factor).</w:t>
      </w:r>
    </w:p>
    <w:p>
      <w:pPr>
        <w:pStyle w:val="Compact"/>
        <w:numPr>
          <w:ilvl w:val="0"/>
          <w:numId w:val="1002"/>
        </w:numPr>
      </w:pPr>
      <w:r>
        <w:rPr>
          <w:b/>
          <w:bCs/>
        </w:rPr>
        <w:t xml:space="preserve">Loan growth</w:t>
      </w:r>
      <w:r>
        <w:t xml:space="preserve"> </w:t>
      </w:r>
      <w:r>
        <w:t xml:space="preserve">commentary turned more bullish — management guided to</w:t>
      </w:r>
      <w:r>
        <w:t xml:space="preserve"> </w:t>
      </w:r>
      <w:r>
        <w:rPr>
          <w:b/>
          <w:bCs/>
        </w:rPr>
        <w:t xml:space="preserve">mid-single digits</w:t>
      </w:r>
      <w:r>
        <w:t xml:space="preserve"> </w:t>
      </w:r>
      <w:r>
        <w:t xml:space="preserve">for the year (above the earlier 3–4%), broad-based across large corporate (food &amp; beverage, energy, healthcare, utilities), small business, and credit card. Commercial utilization ~25%.</w:t>
      </w:r>
    </w:p>
    <w:p>
      <w:pPr>
        <w:pStyle w:val="Compact"/>
        <w:numPr>
          <w:ilvl w:val="0"/>
          <w:numId w:val="1002"/>
        </w:numPr>
      </w:pPr>
      <w:r>
        <w:rPr>
          <w:b/>
          <w:bCs/>
        </w:rPr>
        <w:t xml:space="preserve">Deposits:</w:t>
      </w:r>
      <w:r>
        <w:t xml:space="preserve"> </w:t>
      </w:r>
      <w:r>
        <w:t xml:space="preserve">record consumer deposits, noninterest-bearing steady at ~16% of the mix. Management expects deposits to grow roughly in line with (but slightly below) loans, funded by consumer/operational deposits while shedding higher-cost CDs and institutional balances.</w:t>
      </w:r>
    </w:p>
    <w:p>
      <w:pPr>
        <w:pStyle w:val="FirstParagraph"/>
      </w:pPr>
      <w:r>
        <w:t xml:space="preserve">The macro backdrop matters here:</w:t>
      </w:r>
      <w:r>
        <w:t xml:space="preserve"> </w:t>
      </w:r>
      <w:r>
        <w:rPr>
          <w:b/>
          <w:bCs/>
        </w:rPr>
        <w:t xml:space="preserve">June CPI came in cool</w:t>
      </w:r>
      <w:r>
        <w:t xml:space="preserve">, and markets have largely priced</w:t>
      </w:r>
      <w:r>
        <w:t xml:space="preserve"> </w:t>
      </w:r>
      <w:r>
        <w:rPr>
          <w:i/>
          <w:iCs/>
        </w:rPr>
        <w:t xml:space="preserve">out</w:t>
      </w:r>
      <w:r>
        <w:t xml:space="preserve"> </w:t>
      </w:r>
      <w:r>
        <w:t xml:space="preserve">near-term Fed rate hikes (Chair Warsh regime), reducing one source of NII uncertainty — though geopolitical/oil-price volatility remains a wildcard for the rate path.</w:t>
      </w:r>
    </w:p>
    <w:p>
      <w:r>
        <w:pict>
          <v:rect style="width:0;height:1.5pt" o:hralign="center" o:hrstd="t" o:hr="t"/>
        </w:pict>
      </w:r>
    </w:p>
    <w:bookmarkEnd w:id="13"/>
    <w:bookmarkStart w:id="14" w:name="Xbb15bbeef3877cc65dddc370a88aafd486c53a6"/>
    <w:p>
      <w:pPr>
        <w:pStyle w:val="Heading2"/>
      </w:pPr>
      <w:r>
        <w:t xml:space="preserve">4. Credit Quality</w:t>
      </w:r>
    </w:p>
    <w:p>
      <w:pPr>
        <w:pStyle w:val="FirstParagraph"/>
      </w:pPr>
      <w:r>
        <w:t xml:space="preserve">Credit remains a source of relative comfort:</w:t>
      </w:r>
    </w:p>
    <w:p>
      <w:pPr>
        <w:pStyle w:val="Compact"/>
        <w:numPr>
          <w:ilvl w:val="0"/>
          <w:numId w:val="1003"/>
        </w:numPr>
      </w:pPr>
      <w:r>
        <w:t xml:space="preserve">Q1 net charge-off ratio was</w:t>
      </w:r>
      <w:r>
        <w:t xml:space="preserve"> </w:t>
      </w:r>
      <w:r>
        <w:rPr>
          <w:b/>
          <w:bCs/>
        </w:rPr>
        <w:t xml:space="preserve">0.56%</w:t>
      </w:r>
      <w:r>
        <w:t xml:space="preserve"> </w:t>
      </w:r>
      <w:r>
        <w:t xml:space="preserve">(up 2 bps QoQ on seasonal card); NPAs</w:t>
      </w:r>
      <w:r>
        <w:t xml:space="preserve"> </w:t>
      </w:r>
      <w:r>
        <w:rPr>
          <w:i/>
          <w:iCs/>
        </w:rPr>
        <w:t xml:space="preserve">improved</w:t>
      </w:r>
      <w:r>
        <w:t xml:space="preserve"> </w:t>
      </w:r>
      <w:r>
        <w:t xml:space="preserve">to 0.38% of loans; allowance for credit losses held at</w:t>
      </w:r>
      <w:r>
        <w:t xml:space="preserve"> </w:t>
      </w:r>
      <w:r>
        <w:rPr>
          <w:b/>
          <w:bCs/>
        </w:rPr>
        <w:t xml:space="preserve">2.00%</w:t>
      </w:r>
      <w:r>
        <w:t xml:space="preserve"> </w:t>
      </w:r>
      <w:r>
        <w:t xml:space="preserve">of period-end loans (~$8B).</w:t>
      </w:r>
    </w:p>
    <w:p>
      <w:pPr>
        <w:pStyle w:val="Compact"/>
        <w:numPr>
          <w:ilvl w:val="0"/>
          <w:numId w:val="1003"/>
        </w:numPr>
      </w:pPr>
      <w:r>
        <w:t xml:space="preserve">Management proactively addressed</w:t>
      </w:r>
      <w:r>
        <w:t xml:space="preserve"> </w:t>
      </w:r>
      <w:r>
        <w:rPr>
          <w:b/>
          <w:bCs/>
        </w:rPr>
        <w:t xml:space="preserve">NDFI/private-credit exposure</w:t>
      </w:r>
      <w:r>
        <w:t xml:space="preserve"> </w:t>
      </w:r>
      <w:r>
        <w:t xml:space="preserve">(~3% of total loans), emphasizing over-collateralization, first-lien collateral, and concentration limits. Expect updated NDFI disclosure again this quarter given continued investor focus.</w:t>
      </w:r>
    </w:p>
    <w:p>
      <w:pPr>
        <w:pStyle w:val="Compact"/>
        <w:numPr>
          <w:ilvl w:val="0"/>
          <w:numId w:val="1003"/>
        </w:numPr>
      </w:pPr>
      <w:r>
        <w:t xml:space="preserve">Watch for any reserve build tied to loan growth (and eventually the Amazon card portfolio, which reserves upon conversion in Q3).</w:t>
      </w:r>
    </w:p>
    <w:p>
      <w:r>
        <w:pict>
          <v:rect style="width:0;height:1.5pt" o:hralign="center" o:hrstd="t" o:hr="t"/>
        </w:pict>
      </w:r>
    </w:p>
    <w:bookmarkEnd w:id="14"/>
    <w:bookmarkStart w:id="15" w:name="X8d1179c9ecdb76b597fd478b9511089e10a07cd"/>
    <w:p>
      <w:pPr>
        <w:pStyle w:val="Heading2"/>
      </w:pPr>
      <w:r>
        <w:t xml:space="preserve">5. Capital &amp; Returns — A Step-Up Story</w:t>
      </w:r>
    </w:p>
    <w:p>
      <w:pPr>
        <w:pStyle w:val="FirstParagraph"/>
      </w:pPr>
      <w:r>
        <w:t xml:space="preserve">This has become a positive catalyst area:</w:t>
      </w:r>
    </w:p>
    <w:p>
      <w:pPr>
        <w:pStyle w:val="Compact"/>
        <w:numPr>
          <w:ilvl w:val="0"/>
          <w:numId w:val="1004"/>
        </w:numPr>
      </w:pPr>
      <w:r>
        <w:rPr>
          <w:b/>
          <w:bCs/>
        </w:rPr>
        <w:t xml:space="preserve">Dividend:</w:t>
      </w:r>
      <w:r>
        <w:t xml:space="preserve"> </w:t>
      </w:r>
      <w:r>
        <w:t xml:space="preserve">Following the June 24 stress-test results, USB announced a</w:t>
      </w:r>
      <w:r>
        <w:t xml:space="preserve"> </w:t>
      </w:r>
      <w:r>
        <w:rPr>
          <w:b/>
          <w:bCs/>
        </w:rPr>
        <w:t xml:space="preserve">3.8% increase to the quarterly dividend, to $0.54 from $0.52</w:t>
      </w:r>
      <w:r>
        <w:t xml:space="preserve">, effective Q3 2026. Its stress capital buffer stays at the</w:t>
      </w:r>
      <w:r>
        <w:t xml:space="preserve"> </w:t>
      </w:r>
      <w:r>
        <w:rPr>
          <w:b/>
          <w:bCs/>
        </w:rPr>
        <w:t xml:space="preserve">2.6% floor</w:t>
      </w:r>
      <w:r>
        <w:t xml:space="preserve"> </w:t>
      </w:r>
      <w:r>
        <w:t xml:space="preserve">(CET1 minimum of 7.1%).</w:t>
      </w:r>
    </w:p>
    <w:p>
      <w:pPr>
        <w:pStyle w:val="Compact"/>
        <w:numPr>
          <w:ilvl w:val="0"/>
          <w:numId w:val="1004"/>
        </w:numPr>
      </w:pPr>
      <w:r>
        <w:rPr>
          <w:b/>
          <w:bCs/>
        </w:rPr>
        <w:t xml:space="preserve">CET1:</w:t>
      </w:r>
      <w:r>
        <w:t xml:space="preserve"> </w:t>
      </w:r>
      <w:r>
        <w:t xml:space="preserve">10.8% (standardized) at 3/31;</w:t>
      </w:r>
      <w:r>
        <w:t xml:space="preserve"> </w:t>
      </w:r>
      <w:r>
        <w:rPr>
          <w:b/>
          <w:bCs/>
        </w:rPr>
        <w:t xml:space="preserve">$4.1B remaining</w:t>
      </w:r>
      <w:r>
        <w:t xml:space="preserve"> </w:t>
      </w:r>
      <w:r>
        <w:t xml:space="preserve">under the $5B buyback authorization.</w:t>
      </w:r>
    </w:p>
    <w:p>
      <w:pPr>
        <w:pStyle w:val="Compact"/>
        <w:numPr>
          <w:ilvl w:val="0"/>
          <w:numId w:val="1004"/>
        </w:numPr>
      </w:pPr>
      <w:r>
        <w:rPr>
          <w:b/>
          <w:bCs/>
        </w:rPr>
        <w:t xml:space="preserve">Buybacks:</w:t>
      </w:r>
      <w:r>
        <w:t xml:space="preserve"> </w:t>
      </w:r>
      <w:r>
        <w:t xml:space="preserve">stepped up to $200M/quarter in Q1 and management said they intend to</w:t>
      </w:r>
      <w:r>
        <w:t xml:space="preserve"> </w:t>
      </w:r>
      <w:r>
        <w:rPr>
          <w:b/>
          <w:bCs/>
        </w:rPr>
        <w:t xml:space="preserve">"glide up"</w:t>
      </w:r>
      <w:r>
        <w:t xml:space="preserve"> </w:t>
      </w:r>
      <w:r>
        <w:t xml:space="preserve">from there, targeting a return to the</w:t>
      </w:r>
      <w:r>
        <w:t xml:space="preserve"> </w:t>
      </w:r>
      <w:r>
        <w:rPr>
          <w:b/>
          <w:bCs/>
        </w:rPr>
        <w:t xml:space="preserve">70–75% payout</w:t>
      </w:r>
      <w:r>
        <w:t xml:space="preserve"> </w:t>
      </w:r>
      <w:r>
        <w:t xml:space="preserve">range as capital ratios stabilize under the Category II framework (expected ~2027). Proposed Basel III revisions are viewed as favorable (RWA relief in mortgage and IG corporate lending).</w:t>
      </w:r>
    </w:p>
    <w:p>
      <w:pPr>
        <w:pStyle w:val="FirstParagraph"/>
      </w:pPr>
      <w:r>
        <w:t xml:space="preserve">Any commentary on an accelerated buyback pace would be a positive surprise.</w:t>
      </w:r>
    </w:p>
    <w:p>
      <w:r>
        <w:pict>
          <v:rect style="width:0;height:1.5pt" o:hralign="center" o:hrstd="t" o:hr="t"/>
        </w:pict>
      </w:r>
    </w:p>
    <w:bookmarkEnd w:id="15"/>
    <w:bookmarkStart w:id="16" w:name="Xe007d12757a3eeab637861bba8d9a8171c979f7"/>
    <w:p>
      <w:pPr>
        <w:pStyle w:val="Heading2"/>
      </w:pPr>
      <w:r>
        <w:t xml:space="preserve">6. Strategic Catalysts to Listen For</w:t>
      </w:r>
    </w:p>
    <w:p>
      <w:pPr>
        <w:pStyle w:val="Compact"/>
        <w:numPr>
          <w:ilvl w:val="0"/>
          <w:numId w:val="1005"/>
        </w:numPr>
      </w:pPr>
      <w:r>
        <w:rPr>
          <w:b/>
          <w:bCs/>
        </w:rPr>
        <w:t xml:space="preserve">Amazon co-brand card:</w:t>
      </w:r>
      <w:r>
        <w:t xml:space="preserve"> </w:t>
      </w:r>
      <w:r>
        <w:t xml:space="preserve">converts in</w:t>
      </w:r>
      <w:r>
        <w:t xml:space="preserve"> </w:t>
      </w:r>
      <w:r>
        <w:rPr>
          <w:b/>
          <w:bCs/>
        </w:rPr>
        <w:t xml:space="preserve">Q3 2026</w:t>
      </w:r>
      <w:r>
        <w:t xml:space="preserve"> </w:t>
      </w:r>
      <w:r>
        <w:t xml:space="preserve">(~</w:t>
      </w:r>
      <m:oMath>
        <m:r>
          <m:t>1.6</m:t>
        </m:r>
        <m:r>
          <m:t>B</m:t>
        </m:r>
        <m:r>
          <m:t>o</m:t>
        </m:r>
        <m:r>
          <m:t>f</m:t>
        </m:r>
        <m:r>
          <m:t>l</m:t>
        </m:r>
        <m:r>
          <m:t>o</m:t>
        </m:r>
        <m:r>
          <m:t>a</m:t>
        </m:r>
        <m:r>
          <m:t>n</m:t>
        </m:r>
        <m:r>
          <m:t>s</m:t>
        </m:r>
        <m:r>
          <m:rPr>
            <m:sty m:val="p"/>
          </m:rPr>
          <m:t>,</m:t>
        </m:r>
        <m:r>
          <m:t> </m:t>
        </m:r>
        <m:r>
          <m:t>70</m:t>
        </m:r>
        <m:r>
          <m:rPr>
            <m:sty m:val="p"/>
          </m:rPr>
          <m:t>,</m:t>
        </m:r>
        <m:r>
          <m:t>000</m:t>
        </m:r>
        <m:r>
          <m:t>c</m:t>
        </m:r>
        <m:r>
          <m:t>o</m:t>
        </m:r>
        <m:r>
          <m:rPr>
            <m:sty m:val="p"/>
          </m:rPr>
          <m:t>−</m:t>
        </m:r>
        <m:r>
          <m:t>b</m:t>
        </m:r>
        <m:r>
          <m:t>r</m:t>
        </m:r>
        <m:r>
          <m:t>a</m:t>
        </m:r>
        <m:r>
          <m:t>n</m:t>
        </m:r>
        <m:r>
          <m:t>d</m:t>
        </m:r>
        <m:r>
          <m:t>c</m:t>
        </m:r>
        <m:r>
          <m:t>l</m:t>
        </m:r>
        <m:r>
          <m:t>i</m:t>
        </m:r>
        <m:r>
          <m:t>e</m:t>
        </m:r>
        <m:r>
          <m:t>n</m:t>
        </m:r>
        <m:r>
          <m:t>t</m:t>
        </m:r>
        <m:r>
          <m:t>s</m:t>
        </m:r>
        <m:r>
          <m:t>i</m:t>
        </m:r>
        <m:r>
          <m:t>n</m:t>
        </m:r>
        <m:r>
          <m:t>i</m:t>
        </m:r>
        <m:r>
          <m:t>t</m:t>
        </m:r>
        <m:r>
          <m:t>i</m:t>
        </m:r>
        <m:r>
          <m:t>a</m:t>
        </m:r>
        <m:r>
          <m:t>l</m:t>
        </m:r>
        <m:r>
          <m:t>l</m:t>
        </m:r>
        <m:r>
          <m:t>y</m:t>
        </m:r>
        <m:r>
          <m:rPr>
            <m:sty m:val="p"/>
          </m:rPr>
          <m:t>,</m:t>
        </m:r>
        <m:r>
          <m:t> </m:t>
        </m:r>
      </m:oMath>
      <w:r>
        <w:t xml:space="preserve">75–85M/quarter revenue, mostly NII). Management frames the ~700,000 Amazon small businesses as a pathway to deeper banking relationships — a genuinely idiosyncratic growth lever built on the same digital platform used for State Farm and Edward Jones.</w:t>
      </w:r>
    </w:p>
    <w:p>
      <w:pPr>
        <w:pStyle w:val="Compact"/>
        <w:numPr>
          <w:ilvl w:val="0"/>
          <w:numId w:val="1005"/>
        </w:numPr>
      </w:pPr>
      <w:r>
        <w:rPr>
          <w:b/>
          <w:bCs/>
        </w:rPr>
        <w:t xml:space="preserve">BTIG:</w:t>
      </w:r>
      <w:r>
        <w:t xml:space="preserve"> </w:t>
      </w:r>
      <w:r>
        <w:t xml:space="preserve">adds equities and investment-banking capabilities; watch for close timing and integration-cost color.</w:t>
      </w:r>
    </w:p>
    <w:p>
      <w:pPr>
        <w:pStyle w:val="Compact"/>
        <w:numPr>
          <w:ilvl w:val="0"/>
          <w:numId w:val="1005"/>
        </w:numPr>
      </w:pPr>
      <w:r>
        <w:rPr>
          <w:b/>
          <w:bCs/>
        </w:rPr>
        <w:t xml:space="preserve">NFL partnership</w:t>
      </w:r>
      <w:r>
        <w:t xml:space="preserve"> </w:t>
      </w:r>
      <w:r>
        <w:t xml:space="preserve">(brand-building / "Financial Edge" program) and the</w:t>
      </w:r>
      <w:r>
        <w:t xml:space="preserve"> </w:t>
      </w:r>
      <w:r>
        <w:rPr>
          <w:b/>
          <w:bCs/>
        </w:rPr>
        <w:t xml:space="preserve">California/Union Bank</w:t>
      </w:r>
      <w:r>
        <w:t xml:space="preserve"> </w:t>
      </w:r>
      <w:r>
        <w:t xml:space="preserve">revenue-synergy ramp.</w:t>
      </w:r>
    </w:p>
    <w:p>
      <w:pPr>
        <w:pStyle w:val="Compact"/>
        <w:numPr>
          <w:ilvl w:val="0"/>
          <w:numId w:val="1005"/>
        </w:numPr>
      </w:pPr>
      <w:r>
        <w:rPr>
          <w:b/>
          <w:bCs/>
        </w:rPr>
        <w:t xml:space="preserve">Efficiency &amp; AI:</w:t>
      </w:r>
      <w:r>
        <w:t xml:space="preserve"> </w:t>
      </w:r>
      <w:r>
        <w:t xml:space="preserve">management is reinvesting cost savings into technology and marketing; the narrative has shifted from "expense cuts" to "revenue-driven operating leverage," with AI/automation cited as the next efficiency lever.</w:t>
      </w:r>
    </w:p>
    <w:p>
      <w:r>
        <w:pict>
          <v:rect style="width:0;height:1.5pt" o:hralign="center" o:hrstd="t" o:hr="t"/>
        </w:pict>
      </w:r>
    </w:p>
    <w:bookmarkEnd w:id="16"/>
    <w:bookmarkStart w:id="17" w:name="X11169e14a262f141a9cb6f5afcf3ad02af20138"/>
    <w:p>
      <w:pPr>
        <w:pStyle w:val="Heading2"/>
      </w:pPr>
      <w:r>
        <w:t xml:space="preserve">7. Stock Setup</w:t>
      </w:r>
    </w:p>
    <w:p>
      <w:pPr>
        <w:pStyle w:val="Compact"/>
        <w:numPr>
          <w:ilvl w:val="0"/>
          <w:numId w:val="1006"/>
        </w:numPr>
      </w:pPr>
      <w:r>
        <w:t xml:space="preserve">USB closed at</w:t>
      </w:r>
      <w:r>
        <w:t xml:space="preserve"> </w:t>
      </w:r>
      <w:r>
        <w:rPr>
          <w:b/>
          <w:bCs/>
        </w:rPr>
        <w:t xml:space="preserve">~</w:t>
      </w:r>
      <m:oMath>
        <m:r>
          <m:t>63.03</m:t>
        </m:r>
        <m:r>
          <m:t>o</m:t>
        </m:r>
        <m:r>
          <m:t>n</m:t>
        </m:r>
        <m:r>
          <m:t>J</m:t>
        </m:r>
        <m:r>
          <m:t>u</m:t>
        </m:r>
        <m:r>
          <m:t>l</m:t>
        </m:r>
        <m:r>
          <m:t>y</m:t>
        </m:r>
        <m:r>
          <m:t>15</m:t>
        </m:r>
        <m:r>
          <m:rPr>
            <m:sty m:val="p"/>
          </m:rPr>
          <m:t>*</m:t>
        </m:r>
        <m:r>
          <m:rPr>
            <m:sty m:val="p"/>
          </m:rPr>
          <m:t>*</m:t>
        </m:r>
        <m:r>
          <m:rPr>
            <m:sty m:val="p"/>
          </m:rPr>
          <m:t>,</m:t>
        </m:r>
        <m:r>
          <m:t>u</m:t>
        </m:r>
        <m:r>
          <m:t>p</m:t>
        </m:r>
        <m:r>
          <m:rPr>
            <m:sty m:val="p"/>
          </m:rPr>
          <m:t>*</m:t>
        </m:r>
        <m:r>
          <m:rPr>
            <m:sty m:val="p"/>
          </m:rPr>
          <m:t>*</m:t>
        </m:r>
        <m:r>
          <m:t> </m:t>
        </m:r>
        <m:r>
          <m:t>17</m:t>
        </m:r>
      </m:oMath>
      <w:r>
        <w:rPr>
          <w:b/>
          <w:bCs/>
        </w:rPr>
        <w:t xml:space="preserve">52)</w:t>
      </w:r>
      <w:r>
        <w:t xml:space="preserve"> </w:t>
      </w:r>
      <w:r>
        <w:t xml:space="preserve">— trading near the upper end of its recent range.</w:t>
      </w:r>
    </w:p>
    <w:p>
      <w:pPr>
        <w:pStyle w:val="Compact"/>
        <w:numPr>
          <w:ilvl w:val="0"/>
          <w:numId w:val="1006"/>
        </w:numPr>
      </w:pPr>
      <w:r>
        <w:t xml:space="preserve">The stock has re-rated on the operating-leverage/ROTCE story (17% ROTCE in Q1, tangible book value +15% YoY).</w:t>
      </w:r>
    </w:p>
    <w:p>
      <w:pPr>
        <w:pStyle w:val="Compact"/>
        <w:numPr>
          <w:ilvl w:val="0"/>
          <w:numId w:val="1006"/>
        </w:numPr>
      </w:pPr>
      <w:r>
        <w:t xml:space="preserve">With expectations now elevated and peers having set a high bar on capital markets,</w:t>
      </w:r>
      <w:r>
        <w:t xml:space="preserve"> </w:t>
      </w:r>
      <w:r>
        <w:rPr>
          <w:b/>
          <w:bCs/>
        </w:rPr>
        <w:t xml:space="preserve">the setup favors a beat-and-reiterate</w:t>
      </w:r>
      <w:r>
        <w:t xml:space="preserve">, but the market may demand more than the guided 200 bps of full-year operating leverage — and could scrutinize any softness in payments volumes or NIM progression. Given the run-up, the risk/reward is more balanced than it was earlier in the year.</w:t>
      </w:r>
    </w:p>
    <w:p>
      <w:r>
        <w:pict>
          <v:rect style="width:0;height:1.5pt" o:hralign="center" o:hrstd="t" o:hr="t"/>
        </w:pict>
      </w:r>
    </w:p>
    <w:bookmarkEnd w:id="17"/>
    <w:bookmarkStart w:id="18" w:name="scorecard-for-the-print"/>
    <w:p>
      <w:pPr>
        <w:pStyle w:val="Heading2"/>
      </w:pPr>
      <w:r>
        <w:t xml:space="preserve">Scorecard for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 case</w:t>
            </w:r>
          </w:p>
        </w:tc>
        <w:tc>
          <w:tcPr/>
          <w:p>
            <w:pPr>
              <w:pStyle w:val="Compact"/>
            </w:pPr>
            <w:r>
              <w:t xml:space="preserve">Bear/risk case</w:t>
            </w:r>
          </w:p>
        </w:tc>
      </w:tr>
      <w:tr>
        <w:tc>
          <w:tcPr/>
          <w:p>
            <w:pPr>
              <w:pStyle w:val="Compact"/>
            </w:pPr>
            <w:r>
              <w:t xml:space="preserve">Fee revenue</w:t>
            </w:r>
          </w:p>
        </w:tc>
        <w:tc>
          <w:tcPr/>
          <w:p>
            <w:pPr>
              <w:pStyle w:val="Compact"/>
            </w:pPr>
            <w:r>
              <w:t xml:space="preserve">High end (+7%) or better on capital markets</w:t>
            </w:r>
          </w:p>
        </w:tc>
        <w:tc>
          <w:tcPr/>
          <w:p>
            <w:pPr>
              <w:pStyle w:val="Compact"/>
            </w:pPr>
            <w:r>
              <w:t xml:space="preserve">In-line; payments volume soft</w:t>
            </w:r>
          </w:p>
        </w:tc>
      </w:tr>
      <w:tr>
        <w:tc>
          <w:tcPr/>
          <w:p>
            <w:pPr>
              <w:pStyle w:val="Compact"/>
            </w:pPr>
            <w:r>
              <w:t xml:space="preserve">NII / NIM</w:t>
            </w:r>
          </w:p>
        </w:tc>
        <w:tc>
          <w:tcPr/>
          <w:p>
            <w:pPr>
              <w:pStyle w:val="Compact"/>
            </w:pPr>
            <w:r>
              <w:t xml:space="preserve">NIM ticks up, sequential progress toward 3%</w:t>
            </w:r>
          </w:p>
        </w:tc>
        <w:tc>
          <w:tcPr/>
          <w:p>
            <w:pPr>
              <w:pStyle w:val="Compact"/>
            </w:pPr>
            <w:r>
              <w:t xml:space="preserve">Flat NIM, spread/prepay drag</w:t>
            </w:r>
          </w:p>
        </w:tc>
      </w:tr>
      <w:tr>
        <w:tc>
          <w:tcPr/>
          <w:p>
            <w:pPr>
              <w:pStyle w:val="Compact"/>
            </w:pPr>
            <w:r>
              <w:t xml:space="preserve">Operating leverage</w:t>
            </w:r>
          </w:p>
        </w:tc>
        <w:tc>
          <w:tcPr/>
          <w:p>
            <w:pPr>
              <w:pStyle w:val="Compact"/>
            </w:pPr>
            <w:r>
              <w:t xml:space="preserve">Sustains ~300 bps, raises FY outlook</w:t>
            </w:r>
          </w:p>
        </w:tc>
        <w:tc>
          <w:tcPr/>
          <w:p>
            <w:pPr>
              <w:pStyle w:val="Compact"/>
            </w:pPr>
            <w:r>
              <w:t xml:space="preserve">Holds 200 bps, spending steps up</w:t>
            </w:r>
          </w:p>
        </w:tc>
      </w:tr>
      <w:tr>
        <w:tc>
          <w:tcPr/>
          <w:p>
            <w:pPr>
              <w:pStyle w:val="Compact"/>
            </w:pPr>
            <w:r>
              <w:t xml:space="preserve">Credit</w:t>
            </w:r>
          </w:p>
        </w:tc>
        <w:tc>
          <w:tcPr/>
          <w:p>
            <w:pPr>
              <w:pStyle w:val="Compact"/>
            </w:pPr>
            <w:r>
              <w:t xml:space="preserve">Stable NCOs, benign NDFI</w:t>
            </w:r>
          </w:p>
        </w:tc>
        <w:tc>
          <w:tcPr/>
          <w:p>
            <w:pPr>
              <w:pStyle w:val="Compact"/>
            </w:pPr>
            <w:r>
              <w:t xml:space="preserve">Reserve build, card normalization</w:t>
            </w:r>
          </w:p>
        </w:tc>
      </w:tr>
      <w:tr>
        <w:tc>
          <w:tcPr/>
          <w:p>
            <w:pPr>
              <w:pStyle w:val="Compact"/>
            </w:pPr>
            <w:r>
              <w:t xml:space="preserve">Capital return</w:t>
            </w:r>
          </w:p>
        </w:tc>
        <w:tc>
          <w:tcPr/>
          <w:p>
            <w:pPr>
              <w:pStyle w:val="Compact"/>
            </w:pPr>
            <w:r>
              <w:t xml:space="preserve">Faster buyback glide-path</w:t>
            </w:r>
          </w:p>
        </w:tc>
        <w:tc>
          <w:tcPr/>
          <w:p>
            <w:pPr>
              <w:pStyle w:val="Compact"/>
            </w:pPr>
            <w:r>
              <w:t xml:space="preserve">Cautious, awaits Basel/Cat II clarity</w:t>
            </w:r>
          </w:p>
        </w:tc>
      </w:tr>
      <w:tr>
        <w:tc>
          <w:tcPr/>
          <w:p>
            <w:pPr>
              <w:pStyle w:val="Compact"/>
            </w:pPr>
            <w:r>
              <w:t xml:space="preserve">BTIG</w:t>
            </w:r>
          </w:p>
        </w:tc>
        <w:tc>
          <w:tcPr/>
          <w:p>
            <w:pPr>
              <w:pStyle w:val="Compact"/>
            </w:pPr>
            <w:r>
              <w:t xml:space="preserve">Closes in quarter, accretion detail</w:t>
            </w:r>
          </w:p>
        </w:tc>
        <w:tc>
          <w:tcPr/>
          <w:p>
            <w:pPr>
              <w:pStyle w:val="Compact"/>
            </w:pPr>
            <w:r>
              <w:t xml:space="preserve">Delayed; near-term expense noise</w:t>
            </w:r>
          </w:p>
        </w:tc>
      </w:tr>
    </w:tbl>
    <w:p>
      <w:pPr>
        <w:pStyle w:val="BodyText"/>
      </w:pPr>
      <w:r>
        <w:rPr>
          <w:i/>
          <w:iCs/>
        </w:rPr>
        <w:t xml:space="preserve">Preview based on USB's Q1 2026 earnings release and call (April 16, 2026), the June 24, 2026 DFAST/capital-action release, recent sector earnings, and market data through July 15, 2026. Figures for Q2 are guidance-derived estimates, not company or consensus forecasts.</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2026-07-16T00:06:32Z</dcterms:created>
  <dcterms:modified xsi:type="dcterms:W3CDTF">2026-07-16T00:06:32Z</dcterms:modified>
</cp:coreProperties>
</file>

<file path=docProps/custom.xml><?xml version="1.0" encoding="utf-8"?>
<Properties xmlns="http://schemas.openxmlformats.org/officeDocument/2006/custom-properties" xmlns:vt="http://schemas.openxmlformats.org/officeDocument/2006/docPropsVTypes"/>
</file>