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sb-earnings-predictions--2026-07-16"/>
    <w:p>
      <w:pPr>
        <w:pStyle w:val="Heading1"/>
      </w:pPr>
      <w:r>
        <w:t xml:space="preserve">USB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~$1.31 vs. cons $1.27-1.28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(FTE)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~$4.35B vs. cons $4.34B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Fee/Noninterest Revenue (incl. BTIG)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~$3.30B vs. cons $3.20B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Net Revenue Growth (now incl. BTIG)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~7% vs. cons 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Leverage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~250bps vs. cons 200bps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NIM Trajectory (path to 3% by 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~2.80-2.85% exit vs. cons 2.80% (Q4 2026 exit rate)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-1.1% (FADE)</w:t>
            </w:r>
          </w:p>
        </w:tc>
        <w:tc>
          <w:tcPr/>
          <w:p>
            <w:pPr>
              <w:pStyle w:val="Compact"/>
            </w:pPr>
            <w:r>
              <w:t xml:space="preserve">Most of the beat-and-raise narrative (NII toward the upper end of 6-7%, fees above range, BTIG accretion, dividend hike/SCB confirmation) was pre-announced at the June 10 Morgan Stanley conference and the stock already rallied from the low-</w:t>
            </w:r>
            <m:oMath>
              <m:r>
                <m:t>50</m:t>
              </m:r>
              <m:r>
                <m:t>s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63 pricing much of it in. Because reported NII lands near the top of the already-guided range rather than blowing through it, and expense growth is intentionally stepping up (3-4%) to fund investment, out-year 2027 EPS/NIM estimates are unlikely to move up materially even after a clean Q2 beat. With valuation extended after peer bank beats (JPM, WFC) already digested, this sets up a classic sell-the-news dynamic where an initial pop fades over the following days as analysts true-up estimates only modestly versus the size of the run-up.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2026-07-16T01:17:20Z</dcterms:created>
  <dcterms:modified xsi:type="dcterms:W3CDTF">2026-07-16T01:17:20Z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