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I have great detail on Q1. Let me get the Morgan Stanley conference transcript (more recent commentary) and press releases/news for additional context, plus current stock price data.Let me retry reading the dividend hike / stress capital buffer 8-K, and check for any other recent news around Fed policy that affects USB (e.g., rate cuts/hikes since that affects NII outlook).# U.S. Bancorp (USB) Q2 2026 Earnings Preview</w:t>
      </w:r>
      <w:r>
        <w:t xml:space="preserve"> </w:t>
      </w:r>
      <w:r>
        <w:rPr>
          <w:b/>
          <w:bCs/>
        </w:rPr>
        <w:t xml:space="preserve">Report Date:</w:t>
      </w:r>
      <w:r>
        <w:t xml:space="preserve"> </w:t>
      </w:r>
      <w:r>
        <w:t xml:space="preserve">Thursday, July 16, 2026, before market open | Call: 7:00 a.m. CT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USB shares have run hard into this print, climbing from the low-</w:t>
      </w:r>
      <m:oMath>
        <m:r>
          <m:t>50</m:t>
        </m:r>
        <m:r>
          <m:t>s</m:t>
        </m:r>
        <m:r>
          <m:t>i</m:t>
        </m:r>
        <m:r>
          <m:t>n</m:t>
        </m:r>
        <m:r>
          <m:t>M</m:t>
        </m:r>
        <m:r>
          <m:t>a</m:t>
        </m:r>
        <m:r>
          <m:t>r</m:t>
        </m:r>
        <m:r>
          <m:t>c</m:t>
        </m:r>
        <m:r>
          <m:t>h</m:t>
        </m:r>
        <m:r>
          <m:t>t</m:t>
        </m:r>
        <m:r>
          <m:t>o</m:t>
        </m:r>
        <m:r>
          <m:t>r</m:t>
        </m:r>
        <m:r>
          <m:t>o</m:t>
        </m:r>
        <m:r>
          <m:t>u</m:t>
        </m:r>
        <m:r>
          <m:t>g</m:t>
        </m:r>
        <m:r>
          <m:t>h</m:t>
        </m:r>
        <m:r>
          <m:t>l</m:t>
        </m:r>
        <m:r>
          <m:t>y</m:t>
        </m:r>
        <m:r>
          <m:rPr>
            <m:sty m:val="p"/>
          </m:rPr>
          <m:t>*</m:t>
        </m:r>
        <m:r>
          <m:rPr>
            <m:sty m:val="p"/>
          </m:rPr>
          <m:t>*</m:t>
        </m:r>
      </m:oMath>
      <w:r>
        <w:t xml:space="preserve">63** by mid-July, tracking a broader rally in bank stocks after strong Q2 prints from JPMorgan and Wells Fargo. Sell-side sentiment is constructive: USB carries a "Moderate Buy" consensus with an average price target near $64, and the Zacks Earnings ESP is positive, consistent with a company that has beaten EPS estimates in each of its last four quarters.</w:t>
      </w:r>
    </w:p>
    <w:p>
      <w:pPr>
        <w:pStyle w:val="BodyText"/>
      </w:pPr>
      <w:r>
        <w:rPr>
          <w:b/>
          <w:bCs/>
        </w:rPr>
        <w:t xml:space="preserve">Consensus estimates:</w:t>
      </w:r>
    </w:p>
    <w:p>
      <w:pPr>
        <w:pStyle w:val="Compact"/>
        <w:numPr>
          <w:ilvl w:val="0"/>
          <w:numId w:val="1001"/>
        </w:numPr>
      </w:pPr>
      <w:r>
        <w:rPr>
          <w:b/>
          <w:bCs/>
        </w:rPr>
        <w:t xml:space="preserve">EPS:</w:t>
      </w:r>
      <w:r>
        <w:t xml:space="preserve"> </w:t>
      </w:r>
      <w:r>
        <w:t xml:space="preserve">~</w:t>
      </w:r>
      <m:oMath>
        <m:r>
          <m:t>1.27</m:t>
        </m:r>
        <m:r>
          <m:rPr>
            <m:sty m:val="p"/>
          </m:rPr>
          <m:t>–</m:t>
        </m:r>
      </m:oMath>
      <w:r>
        <w:t xml:space="preserve">1.28 (vs. $1.11 a year ago, +14–15% YoY)</w:t>
      </w:r>
    </w:p>
    <w:p>
      <w:pPr>
        <w:pStyle w:val="Compact"/>
        <w:numPr>
          <w:ilvl w:val="0"/>
          <w:numId w:val="1001"/>
        </w:numPr>
      </w:pPr>
      <w:r>
        <w:rPr>
          <w:b/>
          <w:bCs/>
        </w:rPr>
        <w:t xml:space="preserve">Revenue:</w:t>
      </w:r>
      <w:r>
        <w:t xml:space="preserve"> </w:t>
      </w:r>
      <w:r>
        <w:t xml:space="preserve">~$7.6 billion (+~8–9% YoY, boosted by the BTIG close)</w:t>
      </w:r>
    </w:p>
    <w:p>
      <w:pPr>
        <w:pStyle w:val="Compact"/>
        <w:numPr>
          <w:ilvl w:val="0"/>
          <w:numId w:val="1001"/>
        </w:numPr>
      </w:pPr>
      <w:r>
        <w:rPr>
          <w:b/>
          <w:bCs/>
        </w:rPr>
        <w:t xml:space="preserve">NII (FTE):</w:t>
      </w:r>
      <w:r>
        <w:t xml:space="preserve"> </w:t>
      </w:r>
      <w:r>
        <w:t xml:space="preserve">~$4.34 billion (+~7% YoY)</w:t>
      </w:r>
    </w:p>
    <w:p>
      <w:pPr>
        <w:pStyle w:val="FirstParagraph"/>
      </w:pPr>
      <w:r>
        <w:t xml:space="preserve">Importantly, this quarter's consensus revenue growth (~8-9%) runs well ahead of the 4-6% full-year framework because it captures the newly-closed BTIG acquisition, which management said it would layer into guidance for the first time at this report.</w:t>
      </w:r>
    </w:p>
    <w:p>
      <w:r>
        <w:pict>
          <v:rect style="width:0;height:1.5pt" o:hralign="center" o:hrstd="t" o:hr="t"/>
        </w:pict>
      </w:r>
    </w:p>
    <w:bookmarkEnd w:id="9"/>
    <w:bookmarkStart w:id="10" w:name="what-management-guided-to-last-quarter"/>
    <w:p>
      <w:pPr>
        <w:pStyle w:val="Heading2"/>
      </w:pPr>
      <w:r>
        <w:t xml:space="preserve">What Management Guided To Last Quarter</w:t>
      </w:r>
    </w:p>
    <w:p>
      <w:pPr>
        <w:pStyle w:val="FirstParagraph"/>
      </w:pPr>
      <w:r>
        <w:t xml:space="preserve">On the Q1 call (April 16), CFO John Stern guided Q2 2026 to:</w:t>
      </w:r>
      <w:r>
        <w:t xml:space="preserve"> </w:t>
      </w:r>
      <w:r>
        <w:rPr>
          <w:b/>
          <w:bCs/>
        </w:rPr>
        <w:t xml:space="preserve">NII growth (FTE) of 6–7% YoY</w:t>
      </w:r>
      <w:r>
        <w:t xml:space="preserve">,</w:t>
      </w:r>
      <w:r>
        <w:t xml:space="preserve"> </w:t>
      </w:r>
      <w:r>
        <w:rPr>
          <w:b/>
          <w:bCs/>
        </w:rPr>
        <w:t xml:space="preserve">total fee revenue growth of 6–7% YoY</w:t>
      </w:r>
      <w:r>
        <w:t xml:space="preserve">, and</w:t>
      </w:r>
      <w:r>
        <w:t xml:space="preserve"> </w:t>
      </w:r>
      <w:r>
        <w:rPr>
          <w:b/>
          <w:bCs/>
        </w:rPr>
        <w:t xml:space="preserve">noninterest expense growth of 3–4% YoY</w:t>
      </w:r>
      <w:r>
        <w:t xml:space="preserve">, with full-year targets unchanged at</w:t>
      </w:r>
      <w:r>
        <w:t xml:space="preserve"> </w:t>
      </w:r>
      <w:r>
        <w:rPr>
          <w:b/>
          <w:bCs/>
        </w:rPr>
        <w:t xml:space="preserve">4–6% total net revenue growth</w:t>
      </w:r>
      <w:r>
        <w:t xml:space="preserve"> </w:t>
      </w:r>
      <w:r>
        <w:t xml:space="preserve">and</w:t>
      </w:r>
      <w:r>
        <w:t xml:space="preserve"> </w:t>
      </w:r>
      <w:r>
        <w:rPr>
          <w:b/>
          <w:bCs/>
        </w:rPr>
        <w:t xml:space="preserve">200+ bps of positive operating leverage</w:t>
      </w:r>
      <w:r>
        <w:t xml:space="preserve">. Net interest income growth on a fully taxable equivalent basis is expected to be in the range of 6% to 7% compared to the second quarter of 2025. Total fee revenue growth is expected to be in the range of 6% to 7% compared to the second quarter of 2025. We expect total noninterest expense growth of 3% to 4% compared to the second quarter of 2025. That guidance explicitly</w:t>
      </w:r>
      <w:r>
        <w:t xml:space="preserve"> </w:t>
      </w:r>
      <w:r>
        <w:rPr>
          <w:b/>
          <w:bCs/>
        </w:rPr>
        <w:t xml:space="preserve">excluded BTIG</w:t>
      </w:r>
      <w:r>
        <w:t xml:space="preserve">, which was expected to add roughly $200 million of fee revenue per quarter once closed.</w:t>
      </w:r>
    </w:p>
    <w:p>
      <w:pPr>
        <w:pStyle w:val="BodyText"/>
      </w:pPr>
      <w:r>
        <w:t xml:space="preserve">Crucially, at the</w:t>
      </w:r>
      <w:r>
        <w:t xml:space="preserve"> </w:t>
      </w:r>
      <w:r>
        <w:rPr>
          <w:b/>
          <w:bCs/>
        </w:rPr>
        <w:t xml:space="preserve">Morgan Stanley Financials Conference on June 10</w:t>
      </w:r>
      <w:r>
        <w:t xml:space="preserve"> </w:t>
      </w:r>
      <w:r>
        <w:t xml:space="preserve">— roughly two-thirds through the quarter — CFO Stern pre-announced that USB was tracking</w:t>
      </w:r>
      <w:r>
        <w:t xml:space="preserve"> </w:t>
      </w:r>
      <w:r>
        <w:rPr>
          <w:b/>
          <w:bCs/>
        </w:rPr>
        <w:t xml:space="preserve">better than guidance</w:t>
      </w:r>
      <w:r>
        <w:t xml:space="preserve">: "Net interest income, we talked about 6% to 7% year-on-year growth. We'll be toward the upper end of the range on that for the quarter. Fee revenue, we also talked about 6% to 7% year-on-year growth, and we'll be above that range this quarter on the strength of capital markets. And expenses will come in as we expected, so 3% to 4% year-on-year growth." He added that</w:t>
      </w:r>
      <w:r>
        <w:t xml:space="preserve"> </w:t>
      </w:r>
      <w:r>
        <w:rPr>
          <w:b/>
          <w:bCs/>
        </w:rPr>
        <w:t xml:space="preserve">BTIG had already closed</w:t>
      </w:r>
      <w:r>
        <w:t xml:space="preserve"> </w:t>
      </w:r>
      <w:r>
        <w:t xml:space="preserve">and would be incorporated into updated guidance at the Q2 print: "we closed on our BTIG deal, and we'll update the guidance at earnings with that included."</w:t>
      </w:r>
    </w:p>
    <w:p>
      <w:pPr>
        <w:pStyle w:val="BodyText"/>
      </w:pPr>
      <w:r>
        <w:t xml:space="preserve">This sets a high bar: the market is essentially expecting a</w:t>
      </w:r>
      <w:r>
        <w:t xml:space="preserve"> </w:t>
      </w:r>
      <w:r>
        <w:rPr>
          <w:b/>
          <w:bCs/>
        </w:rPr>
        <w:t xml:space="preserve">beat-and-raise</w:t>
      </w:r>
      <w:r>
        <w:t xml:space="preserve">, with capital markets strength, an early BTIG contribution, and continued positive operating leverage.</w:t>
      </w:r>
    </w:p>
    <w:p>
      <w:r>
        <w:pict>
          <v:rect style="width:0;height:1.5pt" o:hralign="center" o:hrstd="t" o:hr="t"/>
        </w:pict>
      </w:r>
    </w:p>
    <w:bookmarkEnd w:id="10"/>
    <w:bookmarkStart w:id="17" w:name="key-themes-to-watch"/>
    <w:p>
      <w:pPr>
        <w:pStyle w:val="Heading2"/>
      </w:pPr>
      <w:r>
        <w:t xml:space="preserve">Key Themes to Watch</w:t>
      </w:r>
    </w:p>
    <w:bookmarkStart w:id="11" w:name="Xba9ba41071f22be4dad8c3275f1f78802b6d78b"/>
    <w:p>
      <w:pPr>
        <w:pStyle w:val="Heading3"/>
      </w:pPr>
      <w:r>
        <w:t xml:space="preserve">1. Net Interest Income &amp; Margin Trajectory</w:t>
      </w:r>
    </w:p>
    <w:p>
      <w:pPr>
        <w:pStyle w:val="FirstParagraph"/>
      </w:pPr>
      <w:r>
        <w:t xml:space="preserve">NIM was flat at 2.77% in Q1, with management reiterating a path toward a</w:t>
      </w:r>
      <w:r>
        <w:t xml:space="preserve"> </w:t>
      </w:r>
      <w:r>
        <w:rPr>
          <w:b/>
          <w:bCs/>
        </w:rPr>
        <w:t xml:space="preserve">3% NIM by 2027</w:t>
      </w:r>
      <w:r>
        <w:t xml:space="preserve">, driven by core loan growth, deposit stabilization, and improving earning-asset mix. Net interest margin was flat linked quarter at 2.77% as core loan growth and stable deposit pricing were offset by elevated mortgage prepayments and somewhat tighter credit spreads. Watch for commentary on whether mortgage prepayment drag has abated as management expected, and how loan growth (management flagged</w:t>
      </w:r>
      <w:r>
        <w:t xml:space="preserve"> </w:t>
      </w:r>
      <w:r>
        <w:rPr>
          <w:b/>
          <w:bCs/>
        </w:rPr>
        <w:t xml:space="preserve">mid-single-digit</w:t>
      </w:r>
      <w:r>
        <w:t xml:space="preserve"> </w:t>
      </w:r>
      <w:r>
        <w:t xml:space="preserve">full-year loan growth, above the prior 3–4% target) is flowing through pricing given tighter spreads on large-corporate business.</w:t>
      </w:r>
    </w:p>
    <w:p>
      <w:pPr>
        <w:pStyle w:val="BodyText"/>
      </w:pPr>
      <w:r>
        <w:t xml:space="preserve">Macro context matters here more than usual: CPI data released July 14 cooled hike expectations (July hike probability fell to ~17% from ~42%), but the broader rate backdrop this year has featured discussion of a</w:t>
      </w:r>
      <w:r>
        <w:t xml:space="preserve"> </w:t>
      </w:r>
      <w:r>
        <w:rPr>
          <w:b/>
          <w:bCs/>
        </w:rPr>
        <w:t xml:space="preserve">potential Fed hike rather than a cut</w:t>
      </w:r>
      <w:r>
        <w:t xml:space="preserve"> </w:t>
      </w:r>
      <w:r>
        <w:t xml:space="preserve">— a reversal from the "rate-cut" narrative that dominated bank NII discussions in recent years. Management flagged this uncertainty on the Q1 call as the reason for keeping (rather than raising) NII guidance despite strong loan demand.</w:t>
      </w:r>
    </w:p>
    <w:bookmarkEnd w:id="11"/>
    <w:bookmarkStart w:id="12" w:name="X0eed0f3db9738cebb0d48cd3d4dc8a3b200e9d4"/>
    <w:p>
      <w:pPr>
        <w:pStyle w:val="Heading3"/>
      </w:pPr>
      <w:r>
        <w:t xml:space="preserve">2. Fee Income — Capital Markets and BTIG</w:t>
      </w:r>
    </w:p>
    <w:p>
      <w:pPr>
        <w:pStyle w:val="FirstParagraph"/>
      </w:pPr>
      <w:r>
        <w:t xml:space="preserve">Fee income grew 6.9% YoY in Q1, led by ~30% growth in capital markets. Total fee income increased 6.9% on a year-over-year basis, supported by nearly 30% growth in capital markets, nearly 10% for trust and institutional fees and ongoing momentum across our payments business. With BTIG now closed and contributing a partial quarter, and Stern flagging fees would come in</w:t>
      </w:r>
      <w:r>
        <w:t xml:space="preserve"> </w:t>
      </w:r>
      <w:r>
        <w:rPr>
          <w:b/>
          <w:bCs/>
        </w:rPr>
        <w:t xml:space="preserve">above</w:t>
      </w:r>
      <w:r>
        <w:t xml:space="preserve"> </w:t>
      </w:r>
      <w:r>
        <w:t xml:space="preserve">the 6-7% range, this line is a likely source of upside. Look for: (1) the size of BTIG's Q2 contribution and integration/merger costs, (2) updated full-year fee and revenue guidance now inclusive of BTIG, and (3) capital markets' target of growing to ~11% of total revenue (~7% pre-BTIG).</w:t>
      </w:r>
    </w:p>
    <w:bookmarkEnd w:id="12"/>
    <w:bookmarkStart w:id="13" w:name="Xfbdac605b509db16b517a84f988958cfeb7994c"/>
    <w:p>
      <w:pPr>
        <w:pStyle w:val="Heading3"/>
      </w:pPr>
      <w:r>
        <w:t xml:space="preserve">3. Payments / Card — Amazon &amp; NFL Ramp</w:t>
      </w:r>
    </w:p>
    <w:p>
      <w:pPr>
        <w:pStyle w:val="FirstParagraph"/>
      </w:pPr>
      <w:r>
        <w:t xml:space="preserve">The Amazon small-business co-brand card partnership was expected to onboard in</w:t>
      </w:r>
      <w:r>
        <w:t xml:space="preserve"> </w:t>
      </w:r>
      <w:r>
        <w:rPr>
          <w:b/>
          <w:bCs/>
        </w:rPr>
        <w:t xml:space="preserve">Q3 2026</w:t>
      </w:r>
      <w:r>
        <w:t xml:space="preserve"> </w:t>
      </w:r>
      <w:r>
        <w:t xml:space="preserve">(not Q2), adding roughly</w:t>
      </w:r>
      <w:r>
        <w:t xml:space="preserve"> </w:t>
      </w:r>
      <w:r>
        <w:rPr>
          <w:b/>
          <w:bCs/>
        </w:rPr>
        <w:t xml:space="preserve">$1.6 billion in loans, ~70,000 co-brand clients, and $75–85 million per quarter</w:t>
      </w:r>
      <w:r>
        <w:t xml:space="preserve"> </w:t>
      </w:r>
      <w:r>
        <w:t xml:space="preserve">of revenue, mostly NII. On the Amazon side of the equation, we expect that to be coming online in the third quarter. The loan amount is going to be about $1.6 billion area, is likely in that area, and it's going to be about 70,000 co-brand clients. It's probably going to add in the neighborhood of $75 million to $85 million per quarter. Q2 should show continued double-digit card account acquisition growth but limited direct Amazon revenue — watch for updated timing/sizing commentary ahead of the Q3 launch, plus early color on the NFL "Financial Edge" partnership.</w:t>
      </w:r>
    </w:p>
    <w:bookmarkEnd w:id="13"/>
    <w:bookmarkStart w:id="14" w:name="X1c417b652d47fb07ad0a843d35cdf2856bf0612"/>
    <w:p>
      <w:pPr>
        <w:pStyle w:val="Heading3"/>
      </w:pPr>
      <w:r>
        <w:t xml:space="preserve">4. Expense Discipline &amp; Operating Leverage</w:t>
      </w:r>
    </w:p>
    <w:p>
      <w:pPr>
        <w:pStyle w:val="FirstParagraph"/>
      </w:pPr>
      <w:r>
        <w:t xml:space="preserve">USB has now posted</w:t>
      </w:r>
      <w:r>
        <w:t xml:space="preserve"> </w:t>
      </w:r>
      <w:r>
        <w:rPr>
          <w:b/>
          <w:bCs/>
        </w:rPr>
        <w:t xml:space="preserve">seven consecutive quarters of positive operating leverage</w:t>
      </w:r>
      <w:r>
        <w:t xml:space="preserve">, with efficiency ratio down ~420+ bps over two years. Yes, we've had 7 quarters in a row of positive operating leverage, which is we are very proud of, and we are very much committed to positive operating leverage. Management is intentionally letting expense growth accelerate (3-4% in Q2 vs. a roughly flat run rate previously) to fund technology, marketing, and branch investment, betting that revenue growth outpaces it. If Q2 operating leverage comes in near the ~300bps some had modeled (well above the 200bps full-year floor), the key question for the call is whether management raises the full-year operating leverage target or simply reinvests the upside.</w:t>
      </w:r>
    </w:p>
    <w:bookmarkEnd w:id="14"/>
    <w:bookmarkStart w:id="15" w:name="X52eeca18bddf220722640411de1576abd42346c"/>
    <w:p>
      <w:pPr>
        <w:pStyle w:val="Heading3"/>
      </w:pPr>
      <w:r>
        <w:t xml:space="preserve">5. Credit Quality and NDFI Exposure</w:t>
      </w:r>
    </w:p>
    <w:p>
      <w:pPr>
        <w:pStyle w:val="FirstParagraph"/>
      </w:pPr>
      <w:r>
        <w:t xml:space="preserve">Credit metrics were stable in Q1: NPAs/loans of 0.38% (down 3bps QoQ) and a net charge-off ratio of 0.56% (up 2bps on card seasonality), with allowance coverage of ~2.0% of loans. Our ratio of nonperforming assets to loans and other real estate was 0.38% as of March 31, an improvement of 3 basis points from the previous quarter, and 7 basis points from a year ago. The first quarter net charge-off ratio was 0.56%, increasing 2 basis points sequentially, driven by the seasonal nature of credit cards, while our allowance for credit losses of nearly $8 billion represented 2.0% of period-end loans. Given continued investor focus on non-depository financial institution (NDFI) and private-credit exposure across the sector, expect renewed disclosure on USB's business-credit intermediary book, which management has emphasized is **~3% of total loans**, over-collateralized, and structured with first-lien protection.</w:t>
      </w:r>
    </w:p>
    <w:bookmarkEnd w:id="15"/>
    <w:bookmarkStart w:id="16" w:name="X89ee7f86058ff1c4bf10e4f1667ff7c08514f55"/>
    <w:p>
      <w:pPr>
        <w:pStyle w:val="Heading3"/>
      </w:pPr>
      <w:r>
        <w:t xml:space="preserve">6. Capital Return and Regulatory Tailwinds</w:t>
      </w:r>
    </w:p>
    <w:p>
      <w:pPr>
        <w:pStyle w:val="FirstParagraph"/>
      </w:pPr>
      <w:r>
        <w:t xml:space="preserve">USB's regulatory/capital story has improved markedly: CET1 stood at 10.8% at Q1-end, and on June 24 the Fed confirmed USB's</w:t>
      </w:r>
      <w:r>
        <w:t xml:space="preserve"> </w:t>
      </w:r>
      <w:r>
        <w:rPr>
          <w:b/>
          <w:bCs/>
        </w:rPr>
        <w:t xml:space="preserve">stress capital buffer holds steady at 2.6%</w:t>
      </w:r>
      <w:r>
        <w:t xml:space="preserve"> </w:t>
      </w:r>
      <w:r>
        <w:t xml:space="preserve">through October 2027, alongside a</w:t>
      </w:r>
      <w:r>
        <w:t xml:space="preserve"> </w:t>
      </w:r>
      <w:r>
        <w:rPr>
          <w:b/>
          <w:bCs/>
        </w:rPr>
        <w:t xml:space="preserve">3.8% dividend increase to $0.54/share</w:t>
      </w:r>
      <w:r>
        <w:t xml:space="preserve"> </w:t>
      </w:r>
      <w:r>
        <w:t xml:space="preserve">effective Q3 and $4.1 billion of remaining share-repurchase capacity under the $5 billion authorization. Buybacks have been "gliding up" from $100 million to $200 million per quarter, with management targeting a</w:t>
      </w:r>
      <w:r>
        <w:t xml:space="preserve"> </w:t>
      </w:r>
      <w:r>
        <w:rPr>
          <w:b/>
          <w:bCs/>
        </w:rPr>
        <w:t xml:space="preserve">70–75% long-term payout ratio</w:t>
      </w:r>
      <w:r>
        <w:t xml:space="preserve">. Watch for the pace of buyback increases and any updated timeline on Category II tailoring/Basel III relief, which management has said could accelerate capital return by "one or two quarters."</w:t>
      </w:r>
    </w:p>
    <w:p>
      <w:r>
        <w:pict>
          <v:rect style="width:0;height:1.5pt" o:hralign="center" o:hrstd="t" o:hr="t"/>
        </w:pict>
      </w:r>
    </w:p>
    <w:bookmarkEnd w:id="16"/>
    <w:bookmarkEnd w:id="17"/>
    <w:bookmarkStart w:id="18" w:name="bottom-line-for-investors"/>
    <w:p>
      <w:pPr>
        <w:pStyle w:val="Heading2"/>
      </w:pPr>
      <w:r>
        <w:t xml:space="preserve">Bottom Line for Investors</w:t>
      </w:r>
    </w:p>
    <w:p>
      <w:pPr>
        <w:pStyle w:val="FirstParagraph"/>
      </w:pPr>
      <w:r>
        <w:t xml:space="preserve">Going into this print, USB looks well-positioned for another beat: management pre-announced upside to both NII and fee guidance in early June, the BTIG deal adds an inorganic fee tailwind that will show up in reported numbers for the first time, and credit quality/capital metrics remain solid with a freshly confirmed capital buffer and dividend hike. The bar is elevated given the stock's run to multi-month highs and peer banks' (JPMorgan, Wells Fargo, BNY) recent beat-and-raise reports, so the market's focus will likely shift from "did they beat Q2" to</w:t>
      </w:r>
      <w:r>
        <w:t xml:space="preserve"> </w:t>
      </w:r>
      <w:r>
        <w:rPr>
          <w:b/>
          <w:bCs/>
        </w:rPr>
        <w:t xml:space="preserve">(1) how much full-year guidance gets raised now that BTIG is included</w:t>
      </w:r>
      <w:r>
        <w:t xml:space="preserve">,</w:t>
      </w:r>
      <w:r>
        <w:t xml:space="preserve"> </w:t>
      </w:r>
      <w:r>
        <w:rPr>
          <w:b/>
          <w:bCs/>
        </w:rPr>
        <w:t xml:space="preserve">(2) NIM trajectory toward the 3% 2027 target amid renewed Fed-hike chatter</w:t>
      </w:r>
      <w:r>
        <w:t xml:space="preserve">, and</w:t>
      </w:r>
      <w:r>
        <w:t xml:space="preserve"> </w:t>
      </w:r>
      <w:r>
        <w:rPr>
          <w:b/>
          <w:bCs/>
        </w:rPr>
        <w:t xml:space="preserve">(3) the size/cadence of the next buyback step-up</w:t>
      </w:r>
      <w:r>
        <w:t xml:space="preserve">. Key swing factors to monitor on the call: capital markets fee momentum, loan-spread compression versus volume growth, and any incremental detail on Amazon/NFL partnership economics ahead of their Q3 launch.</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2026-07-16T01:17:20Z</dcterms:created>
  <dcterms:modified xsi:type="dcterms:W3CDTF">2026-07-16T01:17:20Z</dcterms:modified>
</cp:coreProperties>
</file>

<file path=docProps/custom.xml><?xml version="1.0" encoding="utf-8"?>
<Properties xmlns="http://schemas.openxmlformats.org/officeDocument/2006/custom-properties" xmlns:vt="http://schemas.openxmlformats.org/officeDocument/2006/docPropsVTypes"/>
</file>