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aba9910602b849188dcf6c473ae3bda87f71f85"/>
    <w:p>
      <w:pPr>
        <w:pStyle w:val="Heading1"/>
      </w:pPr>
      <w:r>
        <w:t xml:space="preserve">U.S. Bancorp (NYSE: USB) — 2026 Q2 Earnings Preview</w:t>
      </w:r>
    </w:p>
    <w:p>
      <w:pPr>
        <w:pStyle w:val="BlockText"/>
      </w:pPr>
      <w:r>
        <w:rPr>
          <w:b/>
          <w:bCs/>
        </w:rPr>
        <w:t xml:space="preserve">Timing clarification:</w:t>
      </w:r>
      <w:r>
        <w:t xml:space="preserve"> </w:t>
      </w:r>
      <w:r>
        <w:t xml:space="preserve">U.S. Bancorp is scheduled to release results</w:t>
      </w:r>
      <w:r>
        <w:t xml:space="preserve"> </w:t>
      </w:r>
      <w:r>
        <w:rPr>
          <w:b/>
          <w:bCs/>
        </w:rPr>
        <w:t xml:space="preserve">before the market opens today, Thursday, July 16, 2026</w:t>
      </w:r>
      <w:r>
        <w:t xml:space="preserve">, followed by its conference call at</w:t>
      </w:r>
      <w:r>
        <w:t xml:space="preserve"> </w:t>
      </w:r>
      <w:r>
        <w:rPr>
          <w:b/>
          <w:bCs/>
        </w:rPr>
        <w:t xml:space="preserve">8:00 a.m. ET</w:t>
      </w:r>
      <w:r>
        <w:t xml:space="preserve">. (</w:t>
      </w:r>
      <w:hyperlink r:id="rId9">
        <w:r>
          <w:rPr>
            <w:rStyle w:val="Hyperlink"/>
          </w:rPr>
          <w:t xml:space="preserve">ebs.publicnow.com</w:t>
        </w:r>
      </w:hyperlink>
      <w:r>
        <w:t xml:space="preserve">)</w:t>
      </w:r>
    </w:p>
    <w:bookmarkStart w:id="10" w:name="executive-view"/>
    <w:p>
      <w:pPr>
        <w:pStyle w:val="Heading2"/>
      </w:pPr>
      <w:r>
        <w:t xml:space="preserve">Executive view</w:t>
      </w:r>
    </w:p>
    <w:p>
      <w:pPr>
        <w:pStyle w:val="FirstParagraph"/>
      </w:pPr>
      <w:r>
        <w:t xml:space="preserve">USB enters the report with strong operating momentum and a higher bar from investors. First-quarter results featured accelerating loan growth, broad fee-income strength, stable credit and 440 basis points of positive operating leverage. The central question for Q2 is therefore not simply whether USB beats consensus—it is whether management can demonstrate that its improving earnings trajectory is sustainable into 2027.</w:t>
      </w:r>
    </w:p>
    <w:p>
      <w:pPr>
        <w:pStyle w:val="BodyText"/>
      </w:pPr>
      <w:r>
        <w:t xml:space="preserve">The most important issues will be:</w:t>
      </w:r>
    </w:p>
    <w:p>
      <w:pPr>
        <w:pStyle w:val="Compact"/>
        <w:numPr>
          <w:ilvl w:val="0"/>
          <w:numId w:val="1001"/>
        </w:numPr>
      </w:pPr>
      <w:r>
        <w:rPr>
          <w:b/>
          <w:bCs/>
        </w:rPr>
        <w:t xml:space="preserve">Whether net interest margin has begun expanding again</w:t>
      </w:r>
    </w:p>
    <w:p>
      <w:pPr>
        <w:pStyle w:val="Compact"/>
        <w:numPr>
          <w:ilvl w:val="0"/>
          <w:numId w:val="1001"/>
        </w:numPr>
      </w:pPr>
      <w:r>
        <w:rPr>
          <w:b/>
          <w:bCs/>
        </w:rPr>
        <w:t xml:space="preserve">The quality and funding of commercial loan growth</w:t>
      </w:r>
    </w:p>
    <w:p>
      <w:pPr>
        <w:pStyle w:val="Compact"/>
        <w:numPr>
          <w:ilvl w:val="0"/>
          <w:numId w:val="1001"/>
        </w:numPr>
      </w:pPr>
      <w:r>
        <w:rPr>
          <w:b/>
          <w:bCs/>
        </w:rPr>
        <w:t xml:space="preserve">Organic fee growth versus the newly acquired BTIG contribution</w:t>
      </w:r>
    </w:p>
    <w:p>
      <w:pPr>
        <w:pStyle w:val="Compact"/>
        <w:numPr>
          <w:ilvl w:val="0"/>
          <w:numId w:val="1001"/>
        </w:numPr>
      </w:pPr>
      <w:r>
        <w:rPr>
          <w:b/>
          <w:bCs/>
        </w:rPr>
        <w:t xml:space="preserve">Credit-card and commercial credit trends</w:t>
      </w:r>
    </w:p>
    <w:p>
      <w:pPr>
        <w:pStyle w:val="Compact"/>
        <w:numPr>
          <w:ilvl w:val="0"/>
          <w:numId w:val="1001"/>
        </w:numPr>
      </w:pPr>
      <w:r>
        <w:rPr>
          <w:b/>
          <w:bCs/>
        </w:rPr>
        <w:t xml:space="preserve">How quickly excess capital can be returned to shareholders</w:t>
      </w:r>
    </w:p>
    <w:bookmarkEnd w:id="10"/>
    <w:bookmarkStart w:id="13" w:name="street-expectations"/>
    <w:p>
      <w:pPr>
        <w:pStyle w:val="Heading2"/>
      </w:pPr>
      <w:r>
        <w:t xml:space="preserve">Street expectations</w:t>
      </w:r>
    </w:p>
    <w:p>
      <w:pPr>
        <w:pStyle w:val="FirstParagraph"/>
      </w:pPr>
      <w:r>
        <w:t xml:space="preserve">Public consensus sources cluster around the following estimates: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2026 expectation</w:t>
            </w:r>
          </w:p>
        </w:tc>
        <w:tc>
          <w:tcPr/>
          <w:p>
            <w:pPr>
              <w:pStyle w:val="Compact"/>
              <w:jc w:val="right"/>
            </w:pPr>
            <w:r>
              <w:t xml:space="preserve">Year-ago comparison</w:t>
            </w:r>
          </w:p>
        </w:tc>
      </w:tr>
      <w:tr>
        <w:tc>
          <w:tcPr/>
          <w:p>
            <w:pPr>
              <w:pStyle w:val="Compact"/>
            </w:pPr>
            <w:r>
              <w:t xml:space="preserve">Adjusted EPS</w:t>
            </w:r>
          </w:p>
        </w:tc>
        <w:tc>
          <w:tcPr/>
          <w:p>
            <w:pPr>
              <w:pStyle w:val="Compact"/>
              <w:jc w:val="right"/>
            </w:pPr>
            <m:oMath>
              <m:r>
                <m:t>1.27</m:t>
              </m:r>
              <m:r>
                <m:rPr>
                  <m:sty m:val="p"/>
                </m:rPr>
                <m:t>–</m:t>
              </m:r>
            </m:oMath>
            <w:r>
              <w:rPr>
                <w:b/>
                <w:bCs/>
              </w:rPr>
              <w:t xml:space="preserve">1.28</w:t>
            </w:r>
          </w:p>
        </w:tc>
        <w:tc>
          <w:tcPr/>
          <w:p>
            <w:pPr>
              <w:pStyle w:val="Compact"/>
              <w:jc w:val="right"/>
            </w:pPr>
            <w:r>
              <w:t xml:space="preserve">Approximately $1.11</w:t>
            </w:r>
          </w:p>
        </w:tc>
      </w:tr>
      <w:tr>
        <w:tc>
          <w:tcPr/>
          <w:p>
            <w:pPr>
              <w:pStyle w:val="Compact"/>
            </w:pPr>
            <w:r>
              <w:t xml:space="preserve">Revenue</w:t>
            </w:r>
          </w:p>
        </w:tc>
        <w:tc>
          <w:tcPr/>
          <w:p>
            <w:pPr>
              <w:pStyle w:val="Compact"/>
              <w:jc w:val="right"/>
            </w:pPr>
            <m:oMath>
              <m:r>
                <m:t>7.58</m:t>
              </m:r>
              <m:r>
                <m:rPr>
                  <m:sty m:val="p"/>
                </m:rPr>
                <m:t>–</m:t>
              </m:r>
            </m:oMath>
            <w:r>
              <w:rPr>
                <w:b/>
                <w:bCs/>
              </w:rPr>
              <w:t xml:space="preserve">7.62 billion</w:t>
            </w:r>
          </w:p>
        </w:tc>
        <w:tc>
          <w:tcPr/>
          <w:p>
            <w:pPr>
              <w:pStyle w:val="Compact"/>
              <w:jc w:val="right"/>
            </w:pPr>
            <w:r>
              <w:t xml:space="preserve">Approximately $7.0 billion</w:t>
            </w:r>
          </w:p>
        </w:tc>
      </w:tr>
    </w:tbl>
    <w:p>
      <w:pPr>
        <w:pStyle w:val="BodyText"/>
      </w:pPr>
      <w:r>
        <w:t xml:space="preserve">That implies roughly</w:t>
      </w:r>
      <w:r>
        <w:t xml:space="preserve"> </w:t>
      </w:r>
      <w:r>
        <w:rPr>
          <w:b/>
          <w:bCs/>
        </w:rPr>
        <w:t xml:space="preserve">15% year-over-year EPS growth</w:t>
      </w:r>
      <w:r>
        <w:t xml:space="preserve"> </w:t>
      </w:r>
      <w:r>
        <w:t xml:space="preserve">and high-single-digit reported revenue growth. (</w:t>
      </w:r>
      <w:hyperlink r:id="rId11">
        <w:r>
          <w:rPr>
            <w:rStyle w:val="Hyperlink"/>
          </w:rPr>
          <w:t xml:space="preserve">benzinga.com</w:t>
        </w:r>
      </w:hyperlink>
      <w:r>
        <w:t xml:space="preserve">)</w:t>
      </w:r>
    </w:p>
    <w:p>
      <w:pPr>
        <w:pStyle w:val="BodyText"/>
      </w:pPr>
      <w:r>
        <w:t xml:space="preserve">USB earned $1.18 per share in Q1, with $7.29 billion of net revenue, 17% return on tangible common equity, a 2.77% net interest margin and 440 basis points of positive operating leverage. (</w:t>
      </w:r>
      <w:hyperlink r:id="rId12">
        <w:r>
          <w:rPr>
            <w:rStyle w:val="Hyperlink"/>
          </w:rPr>
          <w:t xml:space="preserve">s203.q4cdn.com</w:t>
        </w:r>
      </w:hyperlink>
      <w:r>
        <w:t xml:space="preserve">)</w:t>
      </w:r>
    </w:p>
    <w:bookmarkEnd w:id="13"/>
    <w:bookmarkStart w:id="15" w:name="X14b556174187273d23a1c1e492c23d8a936e34c"/>
    <w:p>
      <w:pPr>
        <w:pStyle w:val="Heading2"/>
      </w:pPr>
      <w:r>
        <w:t xml:space="preserve">1. Net interest income and margin are the core earnings test</w:t>
      </w:r>
    </w:p>
    <w:p>
      <w:pPr>
        <w:pStyle w:val="FirstParagraph"/>
      </w:pPr>
      <w:r>
        <w:t xml:space="preserve">Management’s original Q2 outlook called for taxable-equivalent net interest income to increase</w:t>
      </w:r>
      <w:r>
        <w:t xml:space="preserve"> </w:t>
      </w:r>
      <w:r>
        <w:rPr>
          <w:b/>
          <w:bCs/>
        </w:rPr>
        <w:t xml:space="preserve">6%–7% year over year</w:t>
      </w:r>
      <w:r>
        <w:t xml:space="preserve">. Based on Q2 2025 taxable-equivalent NII of approximately $4.08 billion, that implies roughly:</w:t>
      </w:r>
    </w:p>
    <w:p>
      <w:pPr>
        <w:pStyle w:val="Compact"/>
        <w:numPr>
          <w:ilvl w:val="0"/>
          <w:numId w:val="1002"/>
        </w:numPr>
      </w:pPr>
      <w:r>
        <w:rPr>
          <w:b/>
          <w:bCs/>
        </w:rPr>
        <w:t xml:space="preserve">$4.32 billion at the low end</w:t>
      </w:r>
    </w:p>
    <w:p>
      <w:pPr>
        <w:pStyle w:val="Compact"/>
        <w:numPr>
          <w:ilvl w:val="0"/>
          <w:numId w:val="1002"/>
        </w:numPr>
      </w:pPr>
      <w:r>
        <w:rPr>
          <w:b/>
          <w:bCs/>
        </w:rPr>
        <w:t xml:space="preserve">$4.37 billion at the high end</w:t>
      </w:r>
    </w:p>
    <w:p>
      <w:pPr>
        <w:pStyle w:val="FirstParagraph"/>
      </w:pPr>
      <w:r>
        <w:t xml:space="preserve">This is arguably the quarter’s most important operating target.</w:t>
      </w:r>
    </w:p>
    <w:p>
      <w:pPr>
        <w:pStyle w:val="BodyText"/>
      </w:pPr>
      <w:r>
        <w:t xml:space="preserve">USB’s first-quarter NIM was flat sequentially at</w:t>
      </w:r>
      <w:r>
        <w:t xml:space="preserve"> </w:t>
      </w:r>
      <w:r>
        <w:rPr>
          <w:b/>
          <w:bCs/>
        </w:rPr>
        <w:t xml:space="preserve">2.77%</w:t>
      </w:r>
      <w:r>
        <w:t xml:space="preserve">. Management attributed the lack of expansion to mortgage refinancing activity and tighter spreads on some large corporate loans, while continuing to forecast eventual margin improvement and a path toward approximately 3% in 2027.</w:t>
      </w:r>
    </w:p>
    <w:bookmarkStart w:id="14" w:name="what-investors-should-watch"/>
    <w:p>
      <w:pPr>
        <w:pStyle w:val="Heading3"/>
      </w:pPr>
      <w:r>
        <w:t xml:space="preserve">What investors should watch</w:t>
      </w:r>
    </w:p>
    <w:p>
      <w:pPr>
        <w:pStyle w:val="Compact"/>
        <w:numPr>
          <w:ilvl w:val="0"/>
          <w:numId w:val="1003"/>
        </w:numPr>
      </w:pPr>
      <w:r>
        <w:rPr>
          <w:b/>
          <w:bCs/>
        </w:rPr>
        <w:t xml:space="preserve">Sequential NIM:</w:t>
      </w:r>
      <w:r>
        <w:t xml:space="preserve"> </w:t>
      </w:r>
      <w:r>
        <w:t xml:space="preserve">Any expansion above 2.77% would support the thesis that fixed-asset repricing, loan growth and deposit optimization are beginning to flow through.</w:t>
      </w:r>
    </w:p>
    <w:p>
      <w:pPr>
        <w:pStyle w:val="Compact"/>
        <w:numPr>
          <w:ilvl w:val="0"/>
          <w:numId w:val="1003"/>
        </w:numPr>
      </w:pPr>
      <w:r>
        <w:rPr>
          <w:b/>
          <w:bCs/>
        </w:rPr>
        <w:t xml:space="preserve">Deposit costs and mix:</w:t>
      </w:r>
      <w:r>
        <w:t xml:space="preserve"> </w:t>
      </w:r>
      <w:r>
        <w:t xml:space="preserve">USB has been reducing CDs and less strategic institutional deposits while emphasizing consumer and operational deposits.</w:t>
      </w:r>
    </w:p>
    <w:p>
      <w:pPr>
        <w:pStyle w:val="Compact"/>
        <w:numPr>
          <w:ilvl w:val="0"/>
          <w:numId w:val="1003"/>
        </w:numPr>
      </w:pPr>
      <w:r>
        <w:rPr>
          <w:b/>
          <w:bCs/>
        </w:rPr>
        <w:t xml:space="preserve">Loan spreads:</w:t>
      </w:r>
      <w:r>
        <w:t xml:space="preserve"> </w:t>
      </w:r>
      <w:r>
        <w:t xml:space="preserve">Strong volume is less valuable if growth is concentrated in low-spread corporate lending.</w:t>
      </w:r>
    </w:p>
    <w:p>
      <w:pPr>
        <w:pStyle w:val="Compact"/>
        <w:numPr>
          <w:ilvl w:val="0"/>
          <w:numId w:val="1003"/>
        </w:numPr>
      </w:pPr>
      <w:r>
        <w:rPr>
          <w:b/>
          <w:bCs/>
        </w:rPr>
        <w:t xml:space="preserve">Funding:</w:t>
      </w:r>
      <w:r>
        <w:t xml:space="preserve"> </w:t>
      </w:r>
      <w:r>
        <w:t xml:space="preserve">Management previously suggested deposits may grow somewhat more slowly than loans. Investors should determine whether incremental growth is still being funded economically.</w:t>
      </w:r>
    </w:p>
    <w:p>
      <w:pPr>
        <w:pStyle w:val="Compact"/>
        <w:numPr>
          <w:ilvl w:val="0"/>
          <w:numId w:val="1003"/>
        </w:numPr>
      </w:pPr>
      <w:r>
        <w:rPr>
          <w:b/>
          <w:bCs/>
        </w:rPr>
        <w:t xml:space="preserve">Forward guidance:</w:t>
      </w:r>
      <w:r>
        <w:t xml:space="preserve"> </w:t>
      </w:r>
      <w:r>
        <w:t xml:space="preserve">A solid Q2 NII result accompanied by cautious Q3 commentary would likely be viewed less favorably than a modest beat with improving margin guidance.</w:t>
      </w:r>
    </w:p>
    <w:bookmarkEnd w:id="14"/>
    <w:bookmarkEnd w:id="15"/>
    <w:bookmarkStart w:id="16" w:name="X74831c283c90532c44e54a7857bfdf67f4f7eb9"/>
    <w:p>
      <w:pPr>
        <w:pStyle w:val="Heading2"/>
      </w:pPr>
      <w:r>
        <w:t xml:space="preserve">2. Loan growth should remain strong—but its quality matters</w:t>
      </w:r>
    </w:p>
    <w:p>
      <w:pPr>
        <w:pStyle w:val="FirstParagraph"/>
      </w:pPr>
      <w:r>
        <w:t xml:space="preserve">Average loans increased 2.4% sequentially in Q1, led by commercial lending, while management raised its informal full-year loan-growth expectation toward the mid-single digits.</w:t>
      </w:r>
    </w:p>
    <w:p>
      <w:pPr>
        <w:pStyle w:val="BodyText"/>
      </w:pPr>
      <w:r>
        <w:t xml:space="preserve">The positive setup is that management described commercial demand as broadening beyond AI infrastructure and acquisition financing into more conventional middle-market capital expenditures and business expansion. That would be healthier and potentially more durable than growth driven by a few concentrated industries.</w:t>
      </w:r>
    </w:p>
    <w:p>
      <w:pPr>
        <w:pStyle w:val="BodyText"/>
      </w:pPr>
      <w:r>
        <w:t xml:space="preserve">Investors should focus on:</w:t>
      </w:r>
    </w:p>
    <w:p>
      <w:pPr>
        <w:pStyle w:val="Compact"/>
        <w:numPr>
          <w:ilvl w:val="0"/>
          <w:numId w:val="1004"/>
        </w:numPr>
      </w:pPr>
      <w:r>
        <w:t xml:space="preserve">Commercial and industrial loan growth</w:t>
      </w:r>
    </w:p>
    <w:p>
      <w:pPr>
        <w:pStyle w:val="Compact"/>
        <w:numPr>
          <w:ilvl w:val="0"/>
          <w:numId w:val="1004"/>
        </w:numPr>
      </w:pPr>
      <w:r>
        <w:t xml:space="preserve">Revolver utilization</w:t>
      </w:r>
    </w:p>
    <w:p>
      <w:pPr>
        <w:pStyle w:val="Compact"/>
        <w:numPr>
          <w:ilvl w:val="0"/>
          <w:numId w:val="1004"/>
        </w:numPr>
      </w:pPr>
      <w:r>
        <w:t xml:space="preserve">Commercial loan yields and risk-adjusted returns</w:t>
      </w:r>
    </w:p>
    <w:p>
      <w:pPr>
        <w:pStyle w:val="Compact"/>
        <w:numPr>
          <w:ilvl w:val="0"/>
          <w:numId w:val="1004"/>
        </w:numPr>
      </w:pPr>
      <w:r>
        <w:t xml:space="preserve">Consumer and small-business demand</w:t>
      </w:r>
    </w:p>
    <w:p>
      <w:pPr>
        <w:pStyle w:val="Compact"/>
        <w:numPr>
          <w:ilvl w:val="0"/>
          <w:numId w:val="1004"/>
        </w:numPr>
      </w:pPr>
      <w:r>
        <w:t xml:space="preserve">Whether deposits are keeping pace</w:t>
      </w:r>
    </w:p>
    <w:p>
      <w:pPr>
        <w:pStyle w:val="Compact"/>
        <w:numPr>
          <w:ilvl w:val="0"/>
          <w:numId w:val="1004"/>
        </w:numPr>
      </w:pPr>
      <w:r>
        <w:t xml:space="preserve">Growth in non-depository financial institution exposure</w:t>
      </w:r>
    </w:p>
    <w:p>
      <w:pPr>
        <w:pStyle w:val="FirstParagraph"/>
      </w:pPr>
      <w:r>
        <w:t xml:space="preserve">A strong headline loan-growth figure accompanied by lower spreads or disproportionate growth in financial-institution lending would be lower quality than broad-based growth funded with core deposits.</w:t>
      </w:r>
    </w:p>
    <w:bookmarkEnd w:id="16"/>
    <w:bookmarkStart w:id="19" w:name="X6b2a11a43f5d3dd883f181f0c48644afeb91b10"/>
    <w:p>
      <w:pPr>
        <w:pStyle w:val="Heading2"/>
      </w:pPr>
      <w:r>
        <w:t xml:space="preserve">3. Fee revenue: separate organic momentum from BTIG</w:t>
      </w:r>
    </w:p>
    <w:p>
      <w:pPr>
        <w:pStyle w:val="FirstParagraph"/>
      </w:pPr>
      <w:r>
        <w:t xml:space="preserve">Management’s original Q2 guidance called for</w:t>
      </w:r>
      <w:r>
        <w:t xml:space="preserve"> </w:t>
      </w:r>
      <w:r>
        <w:rPr>
          <w:b/>
          <w:bCs/>
        </w:rPr>
        <w:t xml:space="preserve">6%–7% organic fee-revenue growth</w:t>
      </w:r>
      <w:r>
        <w:t xml:space="preserve">, led by capital markets, trust and investment management, payments, and lending-related fees.</w:t>
      </w:r>
    </w:p>
    <w:p>
      <w:pPr>
        <w:pStyle w:val="BodyText"/>
      </w:pPr>
      <w:r>
        <w:t xml:space="preserve">The comparison is complicated by USB’s acquisition of BTIG, which closed effective</w:t>
      </w:r>
      <w:r>
        <w:t xml:space="preserve"> </w:t>
      </w:r>
      <w:r>
        <w:rPr>
          <w:b/>
          <w:bCs/>
        </w:rPr>
        <w:t xml:space="preserve">June 1, 2026</w:t>
      </w:r>
      <w:r>
        <w:t xml:space="preserve">. BTIG adds institutional equities, investment banking, research, trading and prime-brokerage capabilities. (</w:t>
      </w:r>
      <w:hyperlink r:id="rId17">
        <w:r>
          <w:rPr>
            <w:rStyle w:val="Hyperlink"/>
          </w:rPr>
          <w:t xml:space="preserve">usbank.com</w:t>
        </w:r>
      </w:hyperlink>
      <w:r>
        <w:t xml:space="preserve">)</w:t>
      </w:r>
    </w:p>
    <w:p>
      <w:pPr>
        <w:pStyle w:val="BodyText"/>
      </w:pPr>
      <w:r>
        <w:t xml:space="preserve">USB had previously estimated that BTIG could contribute approximately</w:t>
      </w:r>
      <w:r>
        <w:t xml:space="preserve"> </w:t>
      </w:r>
      <w:r>
        <w:rPr>
          <w:b/>
          <w:bCs/>
        </w:rPr>
        <w:t xml:space="preserve">$200 million of fee revenue per quarter</w:t>
      </w:r>
      <w:r>
        <w:t xml:space="preserve">, although the original company guidance excluded it. With only one month consolidated in Q2, the acquisition could add tens of millions of reported revenue without representing organic upside.</w:t>
      </w:r>
    </w:p>
    <w:bookmarkStart w:id="18" w:name="the-necessary-earnings-bridge"/>
    <w:p>
      <w:pPr>
        <w:pStyle w:val="Heading3"/>
      </w:pPr>
      <w:r>
        <w:t xml:space="preserve">The necessary earnings bridge</w:t>
      </w:r>
    </w:p>
    <w:p>
      <w:pPr>
        <w:pStyle w:val="FirstParagraph"/>
      </w:pPr>
      <w:r>
        <w:t xml:space="preserve">Investors should look for management to disclose:</w:t>
      </w:r>
    </w:p>
    <w:p>
      <w:pPr>
        <w:pStyle w:val="Compact"/>
        <w:numPr>
          <w:ilvl w:val="0"/>
          <w:numId w:val="1005"/>
        </w:numPr>
      </w:pPr>
      <w:r>
        <w:t xml:space="preserve">Organic USB fee growth</w:t>
      </w:r>
    </w:p>
    <w:p>
      <w:pPr>
        <w:pStyle w:val="Compact"/>
        <w:numPr>
          <w:ilvl w:val="0"/>
          <w:numId w:val="1005"/>
        </w:numPr>
      </w:pPr>
      <w:r>
        <w:t xml:space="preserve">BTIG revenue and expenses included in Q2</w:t>
      </w:r>
    </w:p>
    <w:p>
      <w:pPr>
        <w:pStyle w:val="Compact"/>
        <w:numPr>
          <w:ilvl w:val="0"/>
          <w:numId w:val="1005"/>
        </w:numPr>
      </w:pPr>
      <w:r>
        <w:t xml:space="preserve">Acquisition and integration charges</w:t>
      </w:r>
    </w:p>
    <w:p>
      <w:pPr>
        <w:pStyle w:val="Compact"/>
        <w:numPr>
          <w:ilvl w:val="0"/>
          <w:numId w:val="1005"/>
        </w:numPr>
      </w:pPr>
      <w:r>
        <w:t xml:space="preserve">Updated run-rate expectations for Q3 and Q4</w:t>
      </w:r>
    </w:p>
    <w:p>
      <w:pPr>
        <w:pStyle w:val="Compact"/>
        <w:numPr>
          <w:ilvl w:val="0"/>
          <w:numId w:val="1005"/>
        </w:numPr>
      </w:pPr>
      <w:r>
        <w:t xml:space="preserve">Revenue synergies or client referrals already occurring</w:t>
      </w:r>
    </w:p>
    <w:p>
      <w:pPr>
        <w:pStyle w:val="FirstParagraph"/>
      </w:pPr>
      <w:r>
        <w:t xml:space="preserve">A reported revenue beat driven entirely by BTIG, securities marks or unusually strong trading would be less compelling than organic strength in trust, merchant processing, card and treasury-management revenue.</w:t>
      </w:r>
    </w:p>
    <w:p>
      <w:pPr>
        <w:pStyle w:val="BodyText"/>
      </w:pPr>
      <w:r>
        <w:t xml:space="preserve">Capital markets conditions have been favorable across the banking industry, raising the possibility of upside in USB’s legacy fixed-income, derivatives and underwriting businesses. But strong industry conditions also raise expectations.</w:t>
      </w:r>
    </w:p>
    <w:bookmarkEnd w:id="18"/>
    <w:bookmarkEnd w:id="19"/>
    <w:bookmarkStart w:id="21" w:name="X0fc4455cb739ffa1661e5e73b56ffe51489e04b"/>
    <w:p>
      <w:pPr>
        <w:pStyle w:val="Heading2"/>
      </w:pPr>
      <w:r>
        <w:t xml:space="preserve">4. Positive operating leverage needs to remain visible</w:t>
      </w:r>
    </w:p>
    <w:p>
      <w:pPr>
        <w:pStyle w:val="FirstParagraph"/>
      </w:pPr>
      <w:r>
        <w:t xml:space="preserve">USB guided to Q2 expense growth of</w:t>
      </w:r>
      <w:r>
        <w:t xml:space="preserve"> </w:t>
      </w:r>
      <w:r>
        <w:rPr>
          <w:b/>
          <w:bCs/>
        </w:rPr>
        <w:t xml:space="preserve">3%–4% year over year</w:t>
      </w:r>
      <w:r>
        <w:t xml:space="preserve">, versus revenue growth above that level. That framework implies approximately 300 basis points of organic positive operating leverage.</w:t>
      </w:r>
    </w:p>
    <w:p>
      <w:pPr>
        <w:pStyle w:val="BodyText"/>
      </w:pPr>
      <w:r>
        <w:t xml:space="preserve">Management has emphasized that revenue growth—not continued aggressive cost cutting—should drive operating leverage in 2026. USB is simultaneously increasing spending on:</w:t>
      </w:r>
    </w:p>
    <w:p>
      <w:pPr>
        <w:pStyle w:val="Compact"/>
        <w:numPr>
          <w:ilvl w:val="0"/>
          <w:numId w:val="1006"/>
        </w:numPr>
      </w:pPr>
      <w:r>
        <w:t xml:space="preserve">Technology and automation</w:t>
      </w:r>
    </w:p>
    <w:p>
      <w:pPr>
        <w:pStyle w:val="Compact"/>
        <w:numPr>
          <w:ilvl w:val="0"/>
          <w:numId w:val="1006"/>
        </w:numPr>
      </w:pPr>
      <w:r>
        <w:t xml:space="preserve">AI implementation</w:t>
      </w:r>
    </w:p>
    <w:p>
      <w:pPr>
        <w:pStyle w:val="Compact"/>
        <w:numPr>
          <w:ilvl w:val="0"/>
          <w:numId w:val="1006"/>
        </w:numPr>
      </w:pPr>
      <w:r>
        <w:t xml:space="preserve">Card marketing and customer acquisition</w:t>
      </w:r>
    </w:p>
    <w:p>
      <w:pPr>
        <w:pStyle w:val="Compact"/>
        <w:numPr>
          <w:ilvl w:val="0"/>
          <w:numId w:val="1006"/>
        </w:numPr>
      </w:pPr>
      <w:r>
        <w:t xml:space="preserve">Small-business capabilities</w:t>
      </w:r>
    </w:p>
    <w:p>
      <w:pPr>
        <w:pStyle w:val="Compact"/>
        <w:numPr>
          <w:ilvl w:val="0"/>
          <w:numId w:val="1006"/>
        </w:numPr>
      </w:pPr>
      <w:r>
        <w:t xml:space="preserve">Branch remodeling and market densification</w:t>
      </w:r>
    </w:p>
    <w:p>
      <w:pPr>
        <w:pStyle w:val="Compact"/>
        <w:numPr>
          <w:ilvl w:val="0"/>
          <w:numId w:val="1006"/>
        </w:numPr>
      </w:pPr>
      <w:r>
        <w:t xml:space="preserve">BTIG integration</w:t>
      </w:r>
    </w:p>
    <w:p>
      <w:pPr>
        <w:pStyle w:val="FirstParagraph"/>
      </w:pPr>
      <w:r>
        <w:t xml:space="preserve">The key question is whether USB can fund these investments while still delivering operating leverage materially above its full-year target of at least 200 basis points.</w:t>
      </w:r>
    </w:p>
    <w:bookmarkStart w:id="20" w:name="a-good-expense-outcome"/>
    <w:p>
      <w:pPr>
        <w:pStyle w:val="Heading3"/>
      </w:pPr>
      <w:r>
        <w:t xml:space="preserve">A good expense outcome</w:t>
      </w:r>
    </w:p>
    <w:p>
      <w:pPr>
        <w:pStyle w:val="FirstParagraph"/>
      </w:pPr>
      <w:r>
        <w:t xml:space="preserve">A constructive report would include:</w:t>
      </w:r>
    </w:p>
    <w:p>
      <w:pPr>
        <w:pStyle w:val="Compact"/>
        <w:numPr>
          <w:ilvl w:val="0"/>
          <w:numId w:val="1007"/>
        </w:numPr>
      </w:pPr>
      <w:r>
        <w:t xml:space="preserve">Core expenses within or below the original 3%–4% range</w:t>
      </w:r>
    </w:p>
    <w:p>
      <w:pPr>
        <w:pStyle w:val="Compact"/>
        <w:numPr>
          <w:ilvl w:val="0"/>
          <w:numId w:val="1007"/>
        </w:numPr>
      </w:pPr>
      <w:r>
        <w:t xml:space="preserve">A clear separation of BTIG and integration costs</w:t>
      </w:r>
    </w:p>
    <w:p>
      <w:pPr>
        <w:pStyle w:val="Compact"/>
        <w:numPr>
          <w:ilvl w:val="0"/>
          <w:numId w:val="1007"/>
        </w:numPr>
      </w:pPr>
      <w:r>
        <w:t xml:space="preserve">Eighth consecutive quarter of positive operating leverage</w:t>
      </w:r>
    </w:p>
    <w:p>
      <w:pPr>
        <w:pStyle w:val="Compact"/>
        <w:numPr>
          <w:ilvl w:val="0"/>
          <w:numId w:val="1007"/>
        </w:numPr>
      </w:pPr>
      <w:r>
        <w:t xml:space="preserve">Full-year operating-leverage guidance maintained or increased</w:t>
      </w:r>
    </w:p>
    <w:p>
      <w:pPr>
        <w:pStyle w:val="Compact"/>
        <w:numPr>
          <w:ilvl w:val="0"/>
          <w:numId w:val="1007"/>
        </w:numPr>
      </w:pPr>
      <w:r>
        <w:t xml:space="preserve">No indication that marketing spending must rise substantially faster to support card growth</w:t>
      </w:r>
    </w:p>
    <w:bookmarkEnd w:id="20"/>
    <w:bookmarkEnd w:id="21"/>
    <w:bookmarkStart w:id="23" w:name="Xc10e5a7ec25ec8de3d3d0a215d9f2ca83c5f5b5"/>
    <w:p>
      <w:pPr>
        <w:pStyle w:val="Heading2"/>
      </w:pPr>
      <w:r>
        <w:t xml:space="preserve">5. Amazon is mostly a second-half catalyst</w:t>
      </w:r>
    </w:p>
    <w:p>
      <w:pPr>
        <w:pStyle w:val="FirstParagraph"/>
      </w:pPr>
      <w:r>
        <w:t xml:space="preserve">Amazon and U.S. Bank launched the new Prime Business and Amazon Business cards for new applicants on</w:t>
      </w:r>
      <w:r>
        <w:t xml:space="preserve"> </w:t>
      </w:r>
      <w:r>
        <w:rPr>
          <w:b/>
          <w:bCs/>
        </w:rPr>
        <w:t xml:space="preserve">May 13</w:t>
      </w:r>
      <w:r>
        <w:t xml:space="preserve">. Existing Amazon Business American Express customers are scheduled to begin transitioning to replacement cards on</w:t>
      </w:r>
      <w:r>
        <w:t xml:space="preserve"> </w:t>
      </w:r>
      <w:r>
        <w:rPr>
          <w:b/>
          <w:bCs/>
        </w:rPr>
        <w:t xml:space="preserve">August 14</w:t>
      </w:r>
      <w:r>
        <w:t xml:space="preserve">. (</w:t>
      </w:r>
      <w:hyperlink r:id="rId22">
        <w:r>
          <w:rPr>
            <w:rStyle w:val="Hyperlink"/>
          </w:rPr>
          <w:t xml:space="preserve">ir.usbank.com</w:t>
        </w:r>
      </w:hyperlink>
      <w:r>
        <w:t xml:space="preserve">)</w:t>
      </w:r>
    </w:p>
    <w:p>
      <w:pPr>
        <w:pStyle w:val="BodyText"/>
      </w:pPr>
      <w:r>
        <w:t xml:space="preserve">That timing means investors should not expect the full Amazon portfolio economics in Q2. Management previously indicated that the transition could bring approximately:</w:t>
      </w:r>
    </w:p>
    <w:p>
      <w:pPr>
        <w:pStyle w:val="Compact"/>
        <w:numPr>
          <w:ilvl w:val="0"/>
          <w:numId w:val="1008"/>
        </w:numPr>
      </w:pPr>
      <w:r>
        <w:rPr>
          <w:b/>
          <w:bCs/>
        </w:rPr>
        <w:t xml:space="preserve">$1.6 billion of card loans</w:t>
      </w:r>
    </w:p>
    <w:p>
      <w:pPr>
        <w:pStyle w:val="Compact"/>
        <w:numPr>
          <w:ilvl w:val="0"/>
          <w:numId w:val="1008"/>
        </w:numPr>
      </w:pPr>
      <m:oMath>
        <m:r>
          <m:t>75</m:t>
        </m:r>
        <m:r>
          <m:t>m</m:t>
        </m:r>
        <m:r>
          <m:t>i</m:t>
        </m:r>
        <m:r>
          <m:t>l</m:t>
        </m:r>
        <m:r>
          <m:t>l</m:t>
        </m:r>
        <m:r>
          <m:t>i</m:t>
        </m:r>
        <m:r>
          <m:t>o</m:t>
        </m:r>
        <m:r>
          <m:t>n</m:t>
        </m:r>
        <m:r>
          <m:rPr>
            <m:sty m:val="p"/>
          </m:rPr>
          <m:t>–</m:t>
        </m:r>
      </m:oMath>
      <w:r>
        <w:rPr>
          <w:b/>
          <w:bCs/>
        </w:rPr>
        <w:t xml:space="preserve">85 million of quarterly revenue</w:t>
      </w:r>
      <w:r>
        <w:t xml:space="preserve">, principally NII</w:t>
      </w:r>
    </w:p>
    <w:p>
      <w:pPr>
        <w:pStyle w:val="Compact"/>
        <w:numPr>
          <w:ilvl w:val="0"/>
          <w:numId w:val="1008"/>
        </w:numPr>
      </w:pPr>
      <w:r>
        <w:t xml:space="preserve">A reserve build when the portfolio is transferred</w:t>
      </w:r>
    </w:p>
    <w:p>
      <w:pPr>
        <w:pStyle w:val="FirstParagraph"/>
      </w:pPr>
      <w:r>
        <w:t xml:space="preserve">The important Q2 disclosure will therefore be the</w:t>
      </w:r>
      <w:r>
        <w:t xml:space="preserve"> </w:t>
      </w:r>
      <w:r>
        <w:rPr>
          <w:b/>
          <w:bCs/>
        </w:rPr>
        <w:t xml:space="preserve">Q3 launch and conversion outlook</w:t>
      </w:r>
      <w:r>
        <w:t xml:space="preserve">, including:</w:t>
      </w:r>
    </w:p>
    <w:p>
      <w:pPr>
        <w:pStyle w:val="Compact"/>
        <w:numPr>
          <w:ilvl w:val="0"/>
          <w:numId w:val="1009"/>
        </w:numPr>
      </w:pPr>
      <w:r>
        <w:t xml:space="preserve">Whether the August transition remains on schedule</w:t>
      </w:r>
    </w:p>
    <w:p>
      <w:pPr>
        <w:pStyle w:val="Compact"/>
        <w:numPr>
          <w:ilvl w:val="0"/>
          <w:numId w:val="1009"/>
        </w:numPr>
      </w:pPr>
      <w:r>
        <w:t xml:space="preserve">Expected initial credit-loss reserve</w:t>
      </w:r>
    </w:p>
    <w:p>
      <w:pPr>
        <w:pStyle w:val="Compact"/>
        <w:numPr>
          <w:ilvl w:val="0"/>
          <w:numId w:val="1009"/>
        </w:numPr>
      </w:pPr>
      <w:r>
        <w:t xml:space="preserve">New-account acquisition since the May launch</w:t>
      </w:r>
    </w:p>
    <w:p>
      <w:pPr>
        <w:pStyle w:val="Compact"/>
        <w:numPr>
          <w:ilvl w:val="0"/>
          <w:numId w:val="1009"/>
        </w:numPr>
      </w:pPr>
      <w:r>
        <w:t xml:space="preserve">Marketing and rewards costs</w:t>
      </w:r>
    </w:p>
    <w:p>
      <w:pPr>
        <w:pStyle w:val="Compact"/>
        <w:numPr>
          <w:ilvl w:val="0"/>
          <w:numId w:val="1009"/>
        </w:numPr>
      </w:pPr>
      <w:r>
        <w:t xml:space="preserve">Potential to convert Amazon cardholders into broader small-business banking relationships</w:t>
      </w:r>
    </w:p>
    <w:p>
      <w:pPr>
        <w:pStyle w:val="FirstParagraph"/>
      </w:pPr>
      <w:r>
        <w:t xml:space="preserve">A reserve build in Q3 should not automatically be interpreted as deteriorating credit if it reflects the acquired portfolio’s initial allowance.</w:t>
      </w:r>
    </w:p>
    <w:bookmarkEnd w:id="23"/>
    <w:bookmarkStart w:id="25" w:name="X5e1853060daf7bd9010967fdb67593a8aafd577"/>
    <w:p>
      <w:pPr>
        <w:pStyle w:val="Heading2"/>
      </w:pPr>
      <w:r>
        <w:t xml:space="preserve">6. Credit should remain stable, but there is little tolerance for deterioration</w:t>
      </w:r>
    </w:p>
    <w:p>
      <w:pPr>
        <w:pStyle w:val="FirstParagraph"/>
      </w:pPr>
      <w:r>
        <w:t xml:space="preserve">USB entered Q2 with generally healthy credit metrics:</w:t>
      </w:r>
    </w:p>
    <w:p>
      <w:pPr>
        <w:pStyle w:val="Compact"/>
        <w:numPr>
          <w:ilvl w:val="0"/>
          <w:numId w:val="1010"/>
        </w:numPr>
      </w:pPr>
      <w:r>
        <w:t xml:space="preserve">Net charge-off ratio:</w:t>
      </w:r>
      <w:r>
        <w:t xml:space="preserve"> </w:t>
      </w:r>
      <w:r>
        <w:rPr>
          <w:b/>
          <w:bCs/>
        </w:rPr>
        <w:t xml:space="preserve">0.56%</w:t>
      </w:r>
    </w:p>
    <w:p>
      <w:pPr>
        <w:pStyle w:val="Compact"/>
        <w:numPr>
          <w:ilvl w:val="0"/>
          <w:numId w:val="1010"/>
        </w:numPr>
      </w:pPr>
      <w:r>
        <w:t xml:space="preserve">Nonperforming assets to loans and other real estate:</w:t>
      </w:r>
      <w:r>
        <w:t xml:space="preserve"> </w:t>
      </w:r>
      <w:r>
        <w:rPr>
          <w:b/>
          <w:bCs/>
        </w:rPr>
        <w:t xml:space="preserve">0.38%</w:t>
      </w:r>
    </w:p>
    <w:p>
      <w:pPr>
        <w:pStyle w:val="Compact"/>
        <w:numPr>
          <w:ilvl w:val="0"/>
          <w:numId w:val="1010"/>
        </w:numPr>
      </w:pPr>
      <w:r>
        <w:t xml:space="preserve">Allowance for credit losses: approximately</w:t>
      </w:r>
      <w:r>
        <w:t xml:space="preserve"> </w:t>
      </w:r>
      <w:r>
        <w:rPr>
          <w:b/>
          <w:bCs/>
        </w:rPr>
        <w:t xml:space="preserve">2.0% of loans</w:t>
      </w:r>
    </w:p>
    <w:p>
      <w:pPr>
        <w:pStyle w:val="Compact"/>
        <w:numPr>
          <w:ilvl w:val="0"/>
          <w:numId w:val="1010"/>
        </w:numPr>
      </w:pPr>
      <w:r>
        <w:t xml:space="preserve">Credit-card net charge-off rate: approximately</w:t>
      </w:r>
      <w:r>
        <w:t xml:space="preserve"> </w:t>
      </w:r>
      <w:r>
        <w:rPr>
          <w:b/>
          <w:bCs/>
        </w:rPr>
        <w:t xml:space="preserve">4.0%</w:t>
      </w:r>
    </w:p>
    <w:p>
      <w:pPr>
        <w:pStyle w:val="FirstParagraph"/>
      </w:pPr>
      <w:r>
        <w:t xml:space="preserve">The first-quarter card charge-off rate remained below its year-earlier level, while commercial real estate nonperforming assets continued to improve.</w:t>
      </w:r>
    </w:p>
    <w:bookmarkStart w:id="24" w:name="key-credit-questions"/>
    <w:p>
      <w:pPr>
        <w:pStyle w:val="Heading3"/>
      </w:pPr>
      <w:r>
        <w:t xml:space="preserve">Key credit questions</w:t>
      </w:r>
    </w:p>
    <w:p>
      <w:pPr>
        <w:pStyle w:val="Compact"/>
        <w:numPr>
          <w:ilvl w:val="0"/>
          <w:numId w:val="1011"/>
        </w:numPr>
      </w:pPr>
      <w:r>
        <w:t xml:space="preserve">Does the consolidated net charge-off ratio remain near the mid-50-basis-point area?</w:t>
      </w:r>
    </w:p>
    <w:p>
      <w:pPr>
        <w:pStyle w:val="Compact"/>
        <w:numPr>
          <w:ilvl w:val="0"/>
          <w:numId w:val="1011"/>
        </w:numPr>
      </w:pPr>
      <w:r>
        <w:t xml:space="preserve">Are card delinquencies stabilizing?</w:t>
      </w:r>
    </w:p>
    <w:p>
      <w:pPr>
        <w:pStyle w:val="Compact"/>
        <w:numPr>
          <w:ilvl w:val="0"/>
          <w:numId w:val="1011"/>
        </w:numPr>
      </w:pPr>
      <w:r>
        <w:t xml:space="preserve">Do commercial charge-offs normalize after increasing in Q1?</w:t>
      </w:r>
    </w:p>
    <w:p>
      <w:pPr>
        <w:pStyle w:val="Compact"/>
        <w:numPr>
          <w:ilvl w:val="0"/>
          <w:numId w:val="1011"/>
        </w:numPr>
      </w:pPr>
      <w:r>
        <w:t xml:space="preserve">Is office commercial real estate continuing to resolve without new problem assets?</w:t>
      </w:r>
    </w:p>
    <w:p>
      <w:pPr>
        <w:pStyle w:val="Compact"/>
        <w:numPr>
          <w:ilvl w:val="0"/>
          <w:numId w:val="1011"/>
        </w:numPr>
      </w:pPr>
      <w:r>
        <w:t xml:space="preserve">Does rapid loan growth require another meaningful reserve build?</w:t>
      </w:r>
    </w:p>
    <w:p>
      <w:pPr>
        <w:pStyle w:val="Compact"/>
        <w:numPr>
          <w:ilvl w:val="0"/>
          <w:numId w:val="1011"/>
        </w:numPr>
      </w:pPr>
      <w:r>
        <w:t xml:space="preserve">Are private-credit and other NDFI exposures still performing as expected?</w:t>
      </w:r>
    </w:p>
    <w:p>
      <w:pPr>
        <w:pStyle w:val="FirstParagraph"/>
      </w:pPr>
      <w:r>
        <w:t xml:space="preserve">The strongest outcome would be loan growth accompanied by stable charge-offs and only growth-related provisioning. A rising provision caused by worsening borrower performance would undermine the earnings-quality narrative.</w:t>
      </w:r>
    </w:p>
    <w:bookmarkEnd w:id="24"/>
    <w:bookmarkEnd w:id="25"/>
    <w:bookmarkStart w:id="27" w:name="Xd3e26b097cb707395515bb58efca5de755053f3"/>
    <w:p>
      <w:pPr>
        <w:pStyle w:val="Heading2"/>
      </w:pPr>
      <w:r>
        <w:t xml:space="preserve">7. Capital return is becoming a larger part of the thesis</w:t>
      </w:r>
    </w:p>
    <w:p>
      <w:pPr>
        <w:pStyle w:val="FirstParagraph"/>
      </w:pPr>
      <w:r>
        <w:t xml:space="preserve">USB ended Q1 with a</w:t>
      </w:r>
      <w:r>
        <w:t xml:space="preserve"> </w:t>
      </w:r>
      <w:r>
        <w:rPr>
          <w:b/>
          <w:bCs/>
        </w:rPr>
        <w:t xml:space="preserve">10.8% CET1 ratio</w:t>
      </w:r>
      <w:r>
        <w:t xml:space="preserve">. Its stress capital buffer will remain at 2.6%, leaving a regulatory CET1 requirement of 7.1%. Following the stress test, USB announced plans to increase its quarterly dividend from</w:t>
      </w:r>
      <w:r>
        <w:t xml:space="preserve"> </w:t>
      </w:r>
      <m:oMath>
        <m:r>
          <m:t>0.52</m:t>
        </m:r>
        <m:r>
          <m:t>t</m:t>
        </m:r>
        <m:r>
          <m:t>o</m:t>
        </m:r>
        <m:r>
          <m:rPr>
            <m:sty m:val="p"/>
          </m:rPr>
          <m:t>*</m:t>
        </m:r>
        <m:r>
          <m:rPr>
            <m:sty m:val="p"/>
          </m:rPr>
          <m:t>*</m:t>
        </m:r>
      </m:oMath>
      <w:r>
        <w:t xml:space="preserve">0.54**, subject to board approval, and had $4.1 billion remaining under its repurchase authorization as of March 31. (</w:t>
      </w:r>
      <w:hyperlink r:id="rId26">
        <w:r>
          <w:rPr>
            <w:rStyle w:val="Hyperlink"/>
          </w:rPr>
          <w:t xml:space="preserve">ir.usbank.com</w:t>
        </w:r>
      </w:hyperlink>
      <w:r>
        <w:t xml:space="preserve">)</w:t>
      </w:r>
    </w:p>
    <w:p>
      <w:pPr>
        <w:pStyle w:val="BodyText"/>
      </w:pPr>
      <w:r>
        <w:t xml:space="preserve">Management has said it intends to move back toward a long-term total capital-distribution ratio of 70%–75%, with buybacks gradually increasing.</w:t>
      </w:r>
    </w:p>
    <w:p>
      <w:pPr>
        <w:pStyle w:val="BodyText"/>
      </w:pPr>
      <w:r>
        <w:t xml:space="preserve">Investors should look for:</w:t>
      </w:r>
    </w:p>
    <w:p>
      <w:pPr>
        <w:pStyle w:val="Compact"/>
        <w:numPr>
          <w:ilvl w:val="0"/>
          <w:numId w:val="1012"/>
        </w:numPr>
      </w:pPr>
      <w:r>
        <w:t xml:space="preserve">Q2 repurchase volume</w:t>
      </w:r>
    </w:p>
    <w:p>
      <w:pPr>
        <w:pStyle w:val="Compact"/>
        <w:numPr>
          <w:ilvl w:val="0"/>
          <w:numId w:val="1012"/>
        </w:numPr>
      </w:pPr>
      <w:r>
        <w:t xml:space="preserve">Expected Q3 buyback pace</w:t>
      </w:r>
    </w:p>
    <w:p>
      <w:pPr>
        <w:pStyle w:val="Compact"/>
        <w:numPr>
          <w:ilvl w:val="0"/>
          <w:numId w:val="1012"/>
        </w:numPr>
      </w:pPr>
      <w:r>
        <w:t xml:space="preserve">The approximately 12-basis-point CET1 impact from BTIG</w:t>
      </w:r>
    </w:p>
    <w:p>
      <w:pPr>
        <w:pStyle w:val="Compact"/>
        <w:numPr>
          <w:ilvl w:val="0"/>
          <w:numId w:val="1012"/>
        </w:numPr>
      </w:pPr>
      <w:r>
        <w:t xml:space="preserve">Capital consumed by loan growth</w:t>
      </w:r>
    </w:p>
    <w:p>
      <w:pPr>
        <w:pStyle w:val="Compact"/>
        <w:numPr>
          <w:ilvl w:val="0"/>
          <w:numId w:val="1012"/>
        </w:numPr>
      </w:pPr>
      <w:r>
        <w:t xml:space="preserve">Updated timing for reaching the targeted payout range</w:t>
      </w:r>
    </w:p>
    <w:p>
      <w:pPr>
        <w:pStyle w:val="Compact"/>
        <w:numPr>
          <w:ilvl w:val="0"/>
          <w:numId w:val="1012"/>
        </w:numPr>
      </w:pPr>
      <w:r>
        <w:t xml:space="preserve">Commentary on Category II regulation and potential AOCI treatment</w:t>
      </w:r>
    </w:p>
    <w:p>
      <w:pPr>
        <w:pStyle w:val="FirstParagraph"/>
      </w:pPr>
      <w:r>
        <w:t xml:space="preserve">With capital no longer the primary constraint it was several years ago, a more concrete buyback plan could be an important source of upside.</w:t>
      </w:r>
    </w:p>
    <w:bookmarkEnd w:id="27"/>
    <w:bookmarkStart w:id="31" w:name="bull-base-and-bear-interpretations"/>
    <w:p>
      <w:pPr>
        <w:pStyle w:val="Heading2"/>
      </w:pPr>
      <w:r>
        <w:t xml:space="preserve">Bull, base and bear interpretations</w:t>
      </w:r>
    </w:p>
    <w:bookmarkStart w:id="28" w:name="bull-case"/>
    <w:p>
      <w:pPr>
        <w:pStyle w:val="Heading3"/>
      </w:pPr>
      <w:r>
        <w:t xml:space="preserve">Bull case</w:t>
      </w:r>
    </w:p>
    <w:p>
      <w:pPr>
        <w:pStyle w:val="Compact"/>
        <w:numPr>
          <w:ilvl w:val="0"/>
          <w:numId w:val="1013"/>
        </w:numPr>
      </w:pPr>
      <w:r>
        <w:t xml:space="preserve">EPS exceeds $1.30</w:t>
      </w:r>
    </w:p>
    <w:p>
      <w:pPr>
        <w:pStyle w:val="Compact"/>
        <w:numPr>
          <w:ilvl w:val="0"/>
          <w:numId w:val="1013"/>
        </w:numPr>
      </w:pPr>
      <w:r>
        <w:t xml:space="preserve">NII and fee revenue meet or exceed the high end of organic guidance</w:t>
      </w:r>
    </w:p>
    <w:p>
      <w:pPr>
        <w:pStyle w:val="Compact"/>
        <w:numPr>
          <w:ilvl w:val="0"/>
          <w:numId w:val="1013"/>
        </w:numPr>
      </w:pPr>
      <w:r>
        <w:t xml:space="preserve">NIM expands sequentially</w:t>
      </w:r>
    </w:p>
    <w:p>
      <w:pPr>
        <w:pStyle w:val="Compact"/>
        <w:numPr>
          <w:ilvl w:val="0"/>
          <w:numId w:val="1013"/>
        </w:numPr>
      </w:pPr>
      <w:r>
        <w:t xml:space="preserve">Loan growth remains mid-single-digit or better with stable funding costs</w:t>
      </w:r>
    </w:p>
    <w:p>
      <w:pPr>
        <w:pStyle w:val="Compact"/>
        <w:numPr>
          <w:ilvl w:val="0"/>
          <w:numId w:val="1013"/>
        </w:numPr>
      </w:pPr>
      <w:r>
        <w:t xml:space="preserve">Organic fee growth remains strong after removing BTIG</w:t>
      </w:r>
    </w:p>
    <w:p>
      <w:pPr>
        <w:pStyle w:val="Compact"/>
        <w:numPr>
          <w:ilvl w:val="0"/>
          <w:numId w:val="1013"/>
        </w:numPr>
      </w:pPr>
      <w:r>
        <w:t xml:space="preserve">Credit metrics remain stable</w:t>
      </w:r>
    </w:p>
    <w:p>
      <w:pPr>
        <w:pStyle w:val="Compact"/>
        <w:numPr>
          <w:ilvl w:val="0"/>
          <w:numId w:val="1013"/>
        </w:numPr>
      </w:pPr>
      <w:r>
        <w:t xml:space="preserve">Full-year revenue or operating-leverage guidance increases</w:t>
      </w:r>
    </w:p>
    <w:p>
      <w:pPr>
        <w:pStyle w:val="Compact"/>
        <w:numPr>
          <w:ilvl w:val="0"/>
          <w:numId w:val="1013"/>
        </w:numPr>
      </w:pPr>
      <w:r>
        <w:t xml:space="preserve">Management signals faster buybacks</w:t>
      </w:r>
    </w:p>
    <w:bookmarkEnd w:id="28"/>
    <w:bookmarkStart w:id="29" w:name="base-case"/>
    <w:p>
      <w:pPr>
        <w:pStyle w:val="Heading3"/>
      </w:pPr>
      <w:r>
        <w:t xml:space="preserve">Base case</w:t>
      </w:r>
    </w:p>
    <w:p>
      <w:pPr>
        <w:pStyle w:val="Compact"/>
        <w:numPr>
          <w:ilvl w:val="0"/>
          <w:numId w:val="1014"/>
        </w:numPr>
      </w:pPr>
      <w:r>
        <w:t xml:space="preserve">EPS around</w:t>
      </w:r>
      <w:r>
        <w:t xml:space="preserve"> </w:t>
      </w:r>
      <m:oMath>
        <m:r>
          <m:t>1.27</m:t>
        </m:r>
        <m:r>
          <m:rPr>
            <m:sty m:val="p"/>
          </m:rPr>
          <m:t>–</m:t>
        </m:r>
      </m:oMath>
      <w:r>
        <w:t xml:space="preserve">1.29</w:t>
      </w:r>
    </w:p>
    <w:p>
      <w:pPr>
        <w:pStyle w:val="Compact"/>
        <w:numPr>
          <w:ilvl w:val="0"/>
          <w:numId w:val="1014"/>
        </w:numPr>
      </w:pPr>
      <w:r>
        <w:t xml:space="preserve">NII, fees and expenses remain within guidance</w:t>
      </w:r>
    </w:p>
    <w:p>
      <w:pPr>
        <w:pStyle w:val="Compact"/>
        <w:numPr>
          <w:ilvl w:val="0"/>
          <w:numId w:val="1014"/>
        </w:numPr>
      </w:pPr>
      <w:r>
        <w:t xml:space="preserve">NIM is flat to slightly higher</w:t>
      </w:r>
    </w:p>
    <w:p>
      <w:pPr>
        <w:pStyle w:val="Compact"/>
        <w:numPr>
          <w:ilvl w:val="0"/>
          <w:numId w:val="1014"/>
        </w:numPr>
      </w:pPr>
      <w:r>
        <w:t xml:space="preserve">Credit remains benign</w:t>
      </w:r>
    </w:p>
    <w:p>
      <w:pPr>
        <w:pStyle w:val="Compact"/>
        <w:numPr>
          <w:ilvl w:val="0"/>
          <w:numId w:val="1014"/>
        </w:numPr>
      </w:pPr>
      <w:r>
        <w:t xml:space="preserve">Full-year guidance is maintained</w:t>
      </w:r>
    </w:p>
    <w:p>
      <w:pPr>
        <w:pStyle w:val="Compact"/>
        <w:numPr>
          <w:ilvl w:val="0"/>
          <w:numId w:val="1014"/>
        </w:numPr>
      </w:pPr>
      <w:r>
        <w:t xml:space="preserve">BTIG and Amazon support confidence in second-half growth, but near-term integration and reserve expenses offset part of the benefit</w:t>
      </w:r>
    </w:p>
    <w:bookmarkEnd w:id="29"/>
    <w:bookmarkStart w:id="30" w:name="bear-case"/>
    <w:p>
      <w:pPr>
        <w:pStyle w:val="Heading3"/>
      </w:pPr>
      <w:r>
        <w:t xml:space="preserve">Bear case</w:t>
      </w:r>
    </w:p>
    <w:p>
      <w:pPr>
        <w:pStyle w:val="Compact"/>
        <w:numPr>
          <w:ilvl w:val="0"/>
          <w:numId w:val="1015"/>
        </w:numPr>
      </w:pPr>
      <w:r>
        <w:t xml:space="preserve">NII falls below the original range or NIM contracts</w:t>
      </w:r>
    </w:p>
    <w:p>
      <w:pPr>
        <w:pStyle w:val="Compact"/>
        <w:numPr>
          <w:ilvl w:val="0"/>
          <w:numId w:val="1015"/>
        </w:numPr>
      </w:pPr>
      <w:r>
        <w:t xml:space="preserve">Loan growth requires materially more expensive funding</w:t>
      </w:r>
    </w:p>
    <w:p>
      <w:pPr>
        <w:pStyle w:val="Compact"/>
        <w:numPr>
          <w:ilvl w:val="0"/>
          <w:numId w:val="1015"/>
        </w:numPr>
      </w:pPr>
      <w:r>
        <w:t xml:space="preserve">Reported revenue relies heavily on BTIG rather than organic improvement</w:t>
      </w:r>
    </w:p>
    <w:p>
      <w:pPr>
        <w:pStyle w:val="Compact"/>
        <w:numPr>
          <w:ilvl w:val="0"/>
          <w:numId w:val="1015"/>
        </w:numPr>
      </w:pPr>
      <w:r>
        <w:t xml:space="preserve">Expenses rise faster than expected</w:t>
      </w:r>
    </w:p>
    <w:p>
      <w:pPr>
        <w:pStyle w:val="Compact"/>
        <w:numPr>
          <w:ilvl w:val="0"/>
          <w:numId w:val="1015"/>
        </w:numPr>
      </w:pPr>
      <w:r>
        <w:t xml:space="preserve">Card or commercial credit deteriorates</w:t>
      </w:r>
    </w:p>
    <w:p>
      <w:pPr>
        <w:pStyle w:val="Compact"/>
        <w:numPr>
          <w:ilvl w:val="0"/>
          <w:numId w:val="1015"/>
        </w:numPr>
      </w:pPr>
      <w:r>
        <w:t xml:space="preserve">Management reduces full-year operating-leverage expectations</w:t>
      </w:r>
    </w:p>
    <w:p>
      <w:pPr>
        <w:pStyle w:val="Compact"/>
        <w:numPr>
          <w:ilvl w:val="0"/>
          <w:numId w:val="1015"/>
        </w:numPr>
      </w:pPr>
      <w:r>
        <w:t xml:space="preserve">Amazon conversion costs or reserve requirements are materially above prior indications</w:t>
      </w:r>
    </w:p>
    <w:bookmarkEnd w:id="30"/>
    <w:bookmarkEnd w:id="31"/>
    <w:bookmarkStart w:id="32" w:name="bottom-line"/>
    <w:p>
      <w:pPr>
        <w:pStyle w:val="Heading2"/>
      </w:pPr>
      <w:r>
        <w:t xml:space="preserve">Bottom line</w:t>
      </w:r>
    </w:p>
    <w:p>
      <w:pPr>
        <w:pStyle w:val="FirstParagraph"/>
      </w:pPr>
      <w:r>
        <w:t xml:space="preserve">USB appears positioned for another quarter of double-digit EPS growth, but consensus already reflects much of that improvement. The stock’s reaction is likely to depend less on a small EPS beat and more on the durability of the underlying drivers.</w:t>
      </w:r>
    </w:p>
    <w:p>
      <w:pPr>
        <w:pStyle w:val="BodyText"/>
      </w:pPr>
      <w:r>
        <w:t xml:space="preserve">The cleanest positive thesis would be:</w:t>
      </w:r>
    </w:p>
    <w:p>
      <w:pPr>
        <w:pStyle w:val="BlockText"/>
      </w:pPr>
      <w:r>
        <w:rPr>
          <w:b/>
          <w:bCs/>
        </w:rPr>
        <w:t xml:space="preserve">Expanding NIM + quality commercial loan growth + organic fee strength + stable credit + accelerating capital return.</w:t>
      </w:r>
    </w:p>
    <w:p>
      <w:pPr>
        <w:pStyle w:val="FirstParagraph"/>
      </w:pPr>
      <w:r>
        <w:t xml:space="preserve">The largest analytical risk is that BTIG inflates reported revenue while rising acquisition, marketing and technology expenses obscure the organic trend. Investors should therefore prioritize management’s revenue and expense bridges—and Q3 guidance—over the headline revenue number alone.</w:t>
      </w:r>
    </w:p>
    <w:bookmarkEnd w:id="32"/>
    <w:bookmarkEnd w:id="3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ebs.publicnow.com/view/FA8D6232658F5272CE05C5F10FA88DAD81FD46AB?utm_source=openai" TargetMode="External" /><Relationship Type="http://schemas.openxmlformats.org/officeDocument/2006/relationships/hyperlink" Id="rId22" Target="https://ir.usbank.com/news-events/news/news-details/2026/Amazons-New-Prime-Business-and-Amazon-Business-Credit-Cards-Powered-by-U-S--Bank-and-Mastercard-Are-Now-Available-with-Enhanced-Rewards-and-Flexible-Financing/default.aspx?utm_source=openai" TargetMode="External" /><Relationship Type="http://schemas.openxmlformats.org/officeDocument/2006/relationships/hyperlink" Id="rId26" Target="https://ir.usbank.com/news-events/news/news-details/2026/U-S--Bancorp-Comments-on-Dodd-Frank-Act-Stress-Test-Results/default.aspx?utm_source=openai" TargetMode="External" /><Relationship Type="http://schemas.openxmlformats.org/officeDocument/2006/relationships/hyperlink" Id="rId12" Target="https://s203.q4cdn.com/711684571/files/doc_events/2026/Apr/16/1Q26EarningsRelease.pdf?utm_source=openai" TargetMode="External" /><Relationship Type="http://schemas.openxmlformats.org/officeDocument/2006/relationships/hyperlink" Id="rId11" Target="https://www.benzinga.com/quote/USB/earnings?utm_source=openai" TargetMode="External" /><Relationship Type="http://schemas.openxmlformats.org/officeDocument/2006/relationships/hyperlink" Id="rId17" Target="https://www.usbank.com/about-us-bank/news-and-stories/article-library/us-bancorp-completes-acquisition-of-btig.html?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ebs.publicnow.com/view/FA8D6232658F5272CE05C5F10FA88DAD81FD46AB?utm_source=openai" TargetMode="External" /><Relationship Type="http://schemas.openxmlformats.org/officeDocument/2006/relationships/hyperlink" Id="rId22" Target="https://ir.usbank.com/news-events/news/news-details/2026/Amazons-New-Prime-Business-and-Amazon-Business-Credit-Cards-Powered-by-U-S--Bank-and-Mastercard-Are-Now-Available-with-Enhanced-Rewards-and-Flexible-Financing/default.aspx?utm_source=openai" TargetMode="External" /><Relationship Type="http://schemas.openxmlformats.org/officeDocument/2006/relationships/hyperlink" Id="rId26" Target="https://ir.usbank.com/news-events/news/news-details/2026/U-S--Bancorp-Comments-on-Dodd-Frank-Act-Stress-Test-Results/default.aspx?utm_source=openai" TargetMode="External" /><Relationship Type="http://schemas.openxmlformats.org/officeDocument/2006/relationships/hyperlink" Id="rId12" Target="https://s203.q4cdn.com/711684571/files/doc_events/2026/Apr/16/1Q26EarningsRelease.pdf?utm_source=openai" TargetMode="External" /><Relationship Type="http://schemas.openxmlformats.org/officeDocument/2006/relationships/hyperlink" Id="rId11" Target="https://www.benzinga.com/quote/USB/earnings?utm_source=openai" TargetMode="External" /><Relationship Type="http://schemas.openxmlformats.org/officeDocument/2006/relationships/hyperlink" Id="rId17" Target="https://www.usbank.com/about-us-bank/news-and-stories/article-library/us-bancorp-completes-acquisition-of-btig.html?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2026-07-16T01:10:14Z</dcterms:created>
  <dcterms:modified xsi:type="dcterms:W3CDTF">2026-07-16T01:10:14Z</dcterms:modified>
</cp:coreProperties>
</file>

<file path=docProps/custom.xml><?xml version="1.0" encoding="utf-8"?>
<Properties xmlns="http://schemas.openxmlformats.org/officeDocument/2006/custom-properties" xmlns:vt="http://schemas.openxmlformats.org/officeDocument/2006/docPropsVTypes"/>
</file>