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c4737eb5ed9015d5ea050d168b63b74a9ccc3f"/>
    <w:p>
      <w:pPr>
        <w:pStyle w:val="Heading1"/>
      </w:pPr>
      <w:r>
        <w:t xml:space="preserve">U.S. Bancorp (NYSE: USB) — 2Q26 Earnings Preview</w:t>
      </w:r>
    </w:p>
    <w:p>
      <w:pPr>
        <w:pStyle w:val="BlockText"/>
      </w:pPr>
      <w:r>
        <w:rPr>
          <w:b/>
          <w:bCs/>
        </w:rPr>
        <w:t xml:space="preserve">Date clarification:</w:t>
      </w:r>
      <w:r>
        <w:t xml:space="preserve"> </w:t>
      </w:r>
      <w:r>
        <w:t xml:space="preserve">The event date provided—</w:t>
      </w:r>
      <w:r>
        <w:rPr>
          <w:b/>
          <w:bCs/>
        </w:rPr>
        <w:t xml:space="preserve">Thursday, July 16, 2026</w:t>
      </w:r>
      <w:r>
        <w:t xml:space="preserve">—is</w:t>
      </w:r>
      <w:r>
        <w:t xml:space="preserve"> </w:t>
      </w:r>
      <w:r>
        <w:rPr>
          <w:b/>
          <w:bCs/>
        </w:rPr>
        <w:t xml:space="preserve">today</w:t>
      </w:r>
      <w:r>
        <w:t xml:space="preserve">, not tomorrow. This is therefore a</w:t>
      </w:r>
      <w:r>
        <w:t xml:space="preserve"> </w:t>
      </w:r>
      <w:r>
        <w:rPr>
          <w:i/>
          <w:iCs/>
        </w:rPr>
        <w:t xml:space="preserve">pre-release</w:t>
      </w:r>
      <w:r>
        <w:t xml:space="preserve"> </w:t>
      </w:r>
      <w:r>
        <w:t xml:space="preserve">preview for USB’s 2Q26 earnings call.</w:t>
      </w:r>
    </w:p>
    <w:bookmarkStart w:id="9" w:name="bottom-line"/>
    <w:p>
      <w:pPr>
        <w:pStyle w:val="Heading2"/>
      </w:pPr>
      <w:r>
        <w:t xml:space="preserve">Bottom line</w:t>
      </w:r>
    </w:p>
    <w:p>
      <w:pPr>
        <w:pStyle w:val="FirstParagraph"/>
      </w:pPr>
      <w:r>
        <w:t xml:space="preserve">USB enters 2Q26 with a favorable operating setup: management’s prior guidance calls for</w:t>
      </w:r>
      <w:r>
        <w:t xml:space="preserve"> </w:t>
      </w:r>
      <w:r>
        <w:rPr>
          <w:b/>
          <w:bCs/>
        </w:rPr>
        <w:t xml:space="preserve">6%–7% year-over-year growth in both taxable-equivalent net interest income (NII) and fee revenue</w:t>
      </w:r>
      <w:r>
        <w:t xml:space="preserve">, against</w:t>
      </w:r>
      <w:r>
        <w:t xml:space="preserve"> </w:t>
      </w:r>
      <w:r>
        <w:rPr>
          <w:b/>
          <w:bCs/>
        </w:rPr>
        <w:t xml:space="preserve">3%–4% expense growth</w:t>
      </w:r>
      <w:r>
        <w:t xml:space="preserve">. If achieved, that should produce another quarter of meaningful positive operating leverage and reinforce the case that USB’s earnings power is improving through a combination of commercial lending, payments, capital markets/investment services, and disciplined expense management.</w:t>
      </w:r>
    </w:p>
    <w:p>
      <w:pPr>
        <w:pStyle w:val="BodyText"/>
      </w:pPr>
      <w:r>
        <w:t xml:space="preserve">The central question is not simply whether USB clears earnings expectations. It is whether management can</w:t>
      </w:r>
      <w:r>
        <w:t xml:space="preserve"> </w:t>
      </w:r>
      <w:r>
        <w:rPr>
          <w:b/>
          <w:bCs/>
        </w:rPr>
        <w:t xml:space="preserve">sustain or improve its full-year 4%–6% revenue-growth outlook and ≥200 bp positive operating-leverage target</w:t>
      </w:r>
      <w:r>
        <w:t xml:space="preserve"> </w:t>
      </w:r>
      <w:r>
        <w:t xml:space="preserve">while investing behind its growth initiatives. The market will also focus on the durability of margin expansion, credit normalization—particularly cards and commercial—and the timing/economics of the Amazon small-business-card conversion and BTIG acquisition.</w:t>
      </w:r>
    </w:p>
    <w:p>
      <w:pPr>
        <w:pStyle w:val="BodyText"/>
      </w:pPr>
      <w:r>
        <w:t xml:space="preserve">USB stock closed at</w:t>
      </w:r>
      <w:r>
        <w:t xml:space="preserve"> </w:t>
      </w:r>
      <w:r>
        <w:rPr>
          <w:b/>
          <w:bCs/>
        </w:rPr>
        <w:t xml:space="preserve">$63.03 on July 15</w:t>
      </w:r>
      <w:r>
        <w:t xml:space="preserve">, up about</w:t>
      </w:r>
      <w:r>
        <w:t xml:space="preserve"> </w:t>
      </w:r>
      <w:r>
        <w:rPr>
          <w:b/>
          <w:bCs/>
        </w:rPr>
        <w:t xml:space="preserve">13.6% since the April 16 1Q earnings release</w:t>
      </w:r>
      <w:r>
        <w:t xml:space="preserve">, versus roughly</w:t>
      </w:r>
      <w:r>
        <w:t xml:space="preserve"> </w:t>
      </w:r>
      <w:r>
        <w:rPr>
          <w:b/>
          <w:bCs/>
        </w:rPr>
        <w:t xml:space="preserve">10.1% for KRE</w:t>
      </w:r>
      <w:r>
        <w:t xml:space="preserve"> </w:t>
      </w:r>
      <w:r>
        <w:t xml:space="preserve">over the same period. The shares have therefore entered results with more execution reflected in the price, raising the importance of forward guidance and qualitative commentary.</w:t>
      </w:r>
    </w:p>
    <w:p>
      <w:r>
        <w:pict>
          <v:rect style="width:0;height:1.5pt" o:hralign="center" o:hrstd="t" o:hr="t"/>
        </w:pict>
      </w:r>
    </w:p>
    <w:bookmarkEnd w:id="9"/>
    <w:bookmarkStart w:id="11" w:name="what-matters-most-this-quarter"/>
    <w:p>
      <w:pPr>
        <w:pStyle w:val="Heading2"/>
      </w:pPr>
      <w:r>
        <w:t xml:space="preserve">What matters most this quarter</w:t>
      </w:r>
    </w:p>
    <w:bookmarkStart w:id="10" w:name="Xffdc13954cfb1428d56d0376d1e1899dd05d88c"/>
    <w:p>
      <w:pPr>
        <w:pStyle w:val="Heading3"/>
      </w:pPr>
      <w:r>
        <w:t xml:space="preserve">1. Guidance validation: revenue growth must remain broad-based</w:t>
      </w:r>
    </w:p>
    <w:p>
      <w:pPr>
        <w:pStyle w:val="FirstParagraph"/>
      </w:pPr>
      <w:r>
        <w:t xml:space="preserve">USB’s 2Q26 guide, issued with 1Q results,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Management’s 2Q26 outlook</w:t>
            </w:r>
          </w:p>
        </w:tc>
      </w:tr>
      <w:tr>
        <w:tc>
          <w:tcPr/>
          <w:p>
            <w:pPr>
              <w:pStyle w:val="Compact"/>
            </w:pPr>
            <w:r>
              <w:t xml:space="preserve">Taxable-equivalent NII growth</w:t>
            </w:r>
          </w:p>
        </w:tc>
        <w:tc>
          <w:tcPr/>
          <w:p>
            <w:pPr>
              <w:pStyle w:val="Compact"/>
              <w:jc w:val="right"/>
            </w:pPr>
            <w:r>
              <w:rPr>
                <w:b/>
                <w:bCs/>
              </w:rPr>
              <w:t xml:space="preserve">+6% to +7% YoY</w:t>
            </w:r>
          </w:p>
        </w:tc>
      </w:tr>
      <w:tr>
        <w:tc>
          <w:tcPr/>
          <w:p>
            <w:pPr>
              <w:pStyle w:val="Compact"/>
            </w:pPr>
            <w:r>
              <w:t xml:space="preserve">Fee-revenue growth</w:t>
            </w:r>
          </w:p>
        </w:tc>
        <w:tc>
          <w:tcPr/>
          <w:p>
            <w:pPr>
              <w:pStyle w:val="Compact"/>
              <w:jc w:val="right"/>
            </w:pPr>
            <w:r>
              <w:rPr>
                <w:b/>
                <w:bCs/>
              </w:rPr>
              <w:t xml:space="preserve">+6% to +7% YoY</w:t>
            </w:r>
          </w:p>
        </w:tc>
      </w:tr>
      <w:tr>
        <w:tc>
          <w:tcPr/>
          <w:p>
            <w:pPr>
              <w:pStyle w:val="Compact"/>
            </w:pPr>
            <w:r>
              <w:t xml:space="preserve">Noninterest-expense growth</w:t>
            </w:r>
          </w:p>
        </w:tc>
        <w:tc>
          <w:tcPr/>
          <w:p>
            <w:pPr>
              <w:pStyle w:val="Compact"/>
              <w:jc w:val="right"/>
            </w:pPr>
            <w:r>
              <w:rPr>
                <w:b/>
                <w:bCs/>
              </w:rPr>
              <w:t xml:space="preserve">+3% to +4% YoY</w:t>
            </w:r>
          </w:p>
        </w:tc>
      </w:tr>
      <w:tr>
        <w:tc>
          <w:tcPr/>
          <w:p>
            <w:pPr>
              <w:pStyle w:val="Compact"/>
            </w:pPr>
            <w:r>
              <w:t xml:space="preserve">Full-year total revenue growth</w:t>
            </w:r>
          </w:p>
        </w:tc>
        <w:tc>
          <w:tcPr/>
          <w:p>
            <w:pPr>
              <w:pStyle w:val="Compact"/>
              <w:jc w:val="right"/>
            </w:pPr>
            <w:r>
              <w:rPr>
                <w:b/>
                <w:bCs/>
              </w:rPr>
              <w:t xml:space="preserve">+4% to +6% YoY</w:t>
            </w:r>
          </w:p>
        </w:tc>
      </w:tr>
      <w:tr>
        <w:tc>
          <w:tcPr/>
          <w:p>
            <w:pPr>
              <w:pStyle w:val="Compact"/>
            </w:pPr>
            <w:r>
              <w:t xml:space="preserve">Full-year positive operating leverage</w:t>
            </w:r>
          </w:p>
        </w:tc>
        <w:tc>
          <w:tcPr/>
          <w:p>
            <w:pPr>
              <w:pStyle w:val="Compact"/>
              <w:jc w:val="right"/>
            </w:pPr>
            <w:r>
              <w:rPr>
                <w:b/>
                <w:bCs/>
              </w:rPr>
              <w:t xml:space="preserve">≥200 bp</w:t>
            </w:r>
          </w:p>
        </w:tc>
      </w:tr>
    </w:tbl>
    <w:p>
      <w:pPr>
        <w:pStyle w:val="BodyText"/>
      </w:pPr>
      <w:r>
        <w:t xml:space="preserve">The key for investors is the</w:t>
      </w:r>
      <w:r>
        <w:t xml:space="preserve"> </w:t>
      </w:r>
      <w:r>
        <w:rPr>
          <w:i/>
          <w:iCs/>
        </w:rPr>
        <w:t xml:space="preserve">composition</w:t>
      </w:r>
      <w:r>
        <w:t xml:space="preserve"> </w:t>
      </w:r>
      <w:r>
        <w:t xml:space="preserve">of revenue. In 1Q, USB delivered 4.7% total-revenue growth, with NII up 4.1% and fee revenue up 6.9%. The company characterized fee growth as particularly strong in capital markets, trust/investment management, merchant processing, and cards.</w:t>
      </w:r>
    </w:p>
    <w:p>
      <w:pPr>
        <w:pStyle w:val="BodyText"/>
      </w:pPr>
      <w:r>
        <w:t xml:space="preserve">A strong 2Q would demonstrate that this was not merely an easy comparison or seasonal rebound, but a more durable improvement in the franchise’s growth algorithm.</w:t>
      </w:r>
    </w:p>
    <w:p>
      <w:pPr>
        <w:pStyle w:val="BodyText"/>
      </w:pPr>
      <w:r>
        <w:rPr>
          <w:b/>
          <w:bCs/>
        </w:rPr>
        <w:t xml:space="preserve">What would be constructive:</w:t>
      </w:r>
    </w:p>
    <w:p>
      <w:pPr>
        <w:pStyle w:val="Compact"/>
        <w:numPr>
          <w:ilvl w:val="0"/>
          <w:numId w:val="1001"/>
        </w:numPr>
      </w:pPr>
      <w:r>
        <w:t xml:space="preserve">NII and fees both land near the upper end of guidance.</w:t>
      </w:r>
    </w:p>
    <w:p>
      <w:pPr>
        <w:pStyle w:val="Compact"/>
        <w:numPr>
          <w:ilvl w:val="0"/>
          <w:numId w:val="1001"/>
        </w:numPr>
      </w:pPr>
      <w:r>
        <w:t xml:space="preserve">Management reiterates or leans toward the upper half of the full-year revenue range.</w:t>
      </w:r>
    </w:p>
    <w:p>
      <w:pPr>
        <w:pStyle w:val="Compact"/>
        <w:numPr>
          <w:ilvl w:val="0"/>
          <w:numId w:val="1001"/>
        </w:numPr>
      </w:pPr>
      <w:r>
        <w:t xml:space="preserve">Fee strength remains diversified rather than driven by a single capital-markets category.</w:t>
      </w:r>
    </w:p>
    <w:p>
      <w:pPr>
        <w:pStyle w:val="Compact"/>
        <w:numPr>
          <w:ilvl w:val="0"/>
          <w:numId w:val="1001"/>
        </w:numPr>
      </w:pPr>
      <w:r>
        <w:t xml:space="preserve">Expense growth stays controlled despite increased spending on technology, marketing, branches, and card acquisition.</w:t>
      </w:r>
    </w:p>
    <w:p>
      <w:pPr>
        <w:pStyle w:val="FirstParagraph"/>
      </w:pPr>
      <w:r>
        <w:rPr>
          <w:b/>
          <w:bCs/>
        </w:rPr>
        <w:t xml:space="preserve">What would disappoint:</w:t>
      </w:r>
    </w:p>
    <w:p>
      <w:pPr>
        <w:pStyle w:val="Compact"/>
        <w:numPr>
          <w:ilvl w:val="0"/>
          <w:numId w:val="1002"/>
        </w:numPr>
      </w:pPr>
      <w:r>
        <w:t xml:space="preserve">Strong headline EPS but a weaker revenue mix, especially if driven by a lower tax rate, reserve release, or securities gains.</w:t>
      </w:r>
    </w:p>
    <w:p>
      <w:pPr>
        <w:pStyle w:val="Compact"/>
        <w:numPr>
          <w:ilvl w:val="0"/>
          <w:numId w:val="1002"/>
        </w:numPr>
      </w:pPr>
      <w:r>
        <w:t xml:space="preserve">A cut to revenue guidance because higher rates or funding pressure constrain NII.</w:t>
      </w:r>
    </w:p>
    <w:p>
      <w:pPr>
        <w:pStyle w:val="Compact"/>
        <w:numPr>
          <w:ilvl w:val="0"/>
          <w:numId w:val="1002"/>
        </w:numPr>
      </w:pPr>
      <w:r>
        <w:t xml:space="preserve">Expense growth above guide without a clear revenue payoff.</w:t>
      </w:r>
    </w:p>
    <w:p>
      <w:r>
        <w:pict>
          <v:rect style="width:0;height:1.5pt" o:hralign="center" o:hrstd="t" o:hr="t"/>
        </w:pict>
      </w:r>
    </w:p>
    <w:bookmarkEnd w:id="10"/>
    <w:bookmarkEnd w:id="11"/>
    <w:bookmarkStart w:id="13" w:name="X1d6185dc30798f72cf403b0e3d580a61cfbb79d"/>
    <w:p>
      <w:pPr>
        <w:pStyle w:val="Heading2"/>
      </w:pPr>
      <w:r>
        <w:t xml:space="preserve">NII and margin: loan growth is a tailwind, but spreads are the swing factor</w:t>
      </w:r>
    </w:p>
    <w:p>
      <w:pPr>
        <w:pStyle w:val="FirstParagraph"/>
      </w:pPr>
      <w:r>
        <w:t xml:space="preserve">In 1Q26, USB reported:</w:t>
      </w:r>
    </w:p>
    <w:p>
      <w:pPr>
        <w:pStyle w:val="Compact"/>
        <w:numPr>
          <w:ilvl w:val="0"/>
          <w:numId w:val="1003"/>
        </w:numPr>
      </w:pPr>
      <w:r>
        <w:rPr>
          <w:b/>
          <w:bCs/>
        </w:rPr>
        <w:t xml:space="preserve">NII of $4.291 billion</w:t>
      </w:r>
      <w:r>
        <w:t xml:space="preserve"> </w:t>
      </w:r>
      <w:r>
        <w:t xml:space="preserve">on a taxable-equivalent basis, up</w:t>
      </w:r>
      <w:r>
        <w:t xml:space="preserve"> </w:t>
      </w:r>
      <w:r>
        <w:rPr>
          <w:b/>
          <w:bCs/>
        </w:rPr>
        <w:t xml:space="preserve">4.1% YoY</w:t>
      </w:r>
    </w:p>
    <w:p>
      <w:pPr>
        <w:pStyle w:val="Compact"/>
        <w:numPr>
          <w:ilvl w:val="0"/>
          <w:numId w:val="1003"/>
        </w:numPr>
      </w:pPr>
      <w:r>
        <w:rPr>
          <w:b/>
          <w:bCs/>
        </w:rPr>
        <w:t xml:space="preserve">Net interest margin of 2.77%</w:t>
      </w:r>
      <w:r>
        <w:t xml:space="preserve">, flat sequentially and up 5 bp YoY</w:t>
      </w:r>
    </w:p>
    <w:p>
      <w:pPr>
        <w:pStyle w:val="Compact"/>
        <w:numPr>
          <w:ilvl w:val="0"/>
          <w:numId w:val="1003"/>
        </w:numPr>
      </w:pPr>
      <w:r>
        <w:rPr>
          <w:b/>
          <w:bCs/>
        </w:rPr>
        <w:t xml:space="preserve">Average loans up 3.8% YoY</w:t>
      </w:r>
      <w:r>
        <w:t xml:space="preserve"> </w:t>
      </w:r>
      <w:r>
        <w:t xml:space="preserve">and 2.4% sequentially</w:t>
      </w:r>
    </w:p>
    <w:p>
      <w:pPr>
        <w:pStyle w:val="Compact"/>
        <w:numPr>
          <w:ilvl w:val="0"/>
          <w:numId w:val="1003"/>
        </w:numPr>
      </w:pPr>
      <w:r>
        <w:rPr>
          <w:b/>
          <w:bCs/>
        </w:rPr>
        <w:t xml:space="preserve">Average deposits up 1.7% YoY</w:t>
      </w:r>
      <w:r>
        <w:t xml:space="preserve">, roughly flat sequentially</w:t>
      </w:r>
    </w:p>
    <w:p>
      <w:pPr>
        <w:pStyle w:val="FirstParagraph"/>
      </w:pPr>
      <w:r>
        <w:t xml:space="preserve">The 1Q call was notably constructive on loan demand. Management said full-year loan growth could run in the</w:t>
      </w:r>
      <w:r>
        <w:t xml:space="preserve"> </w:t>
      </w:r>
      <w:r>
        <w:rPr>
          <w:b/>
          <w:bCs/>
        </w:rPr>
        <w:t xml:space="preserve">mid-single digits</w:t>
      </w:r>
      <w:r>
        <w:t xml:space="preserve">, above its earlier 3%–4% framing, supported by C&amp;I activity, financial institutions, credit cards, CRE, small business, and client investment/CapEx activity.</w:t>
      </w:r>
    </w:p>
    <w:p>
      <w:pPr>
        <w:pStyle w:val="BodyText"/>
      </w:pPr>
      <w:r>
        <w:t xml:space="preserve">For 2Q, investors should watch whether that lending momentum converts into NII without excessive yield compression. USB has argued that deposit pricing has stabilized and that it is deliberately shrinking lower-value CDs and higher-cost, less-relationship-oriented institutional funding. That should be supportive of margins—but tighter loan spreads on large corporate credits and mortgage refinancing were headwinds in 1Q.</w:t>
      </w:r>
    </w:p>
    <w:bookmarkStart w:id="12" w:name="key-nii-questions-for-the-call"/>
    <w:p>
      <w:pPr>
        <w:pStyle w:val="Heading3"/>
      </w:pPr>
      <w:r>
        <w:t xml:space="preserve">Key NII questions for the call</w:t>
      </w:r>
    </w:p>
    <w:p>
      <w:pPr>
        <w:numPr>
          <w:ilvl w:val="0"/>
          <w:numId w:val="1004"/>
        </w:numPr>
      </w:pPr>
      <w:r>
        <w:rPr>
          <w:b/>
          <w:bCs/>
        </w:rPr>
        <w:t xml:space="preserve">Did NIM expand sequentially from 2.77%?</w:t>
      </w:r>
      <w:r>
        <w:br/>
      </w:r>
      <w:r>
        <w:t xml:space="preserve">Management still sees a path toward a</w:t>
      </w:r>
      <w:r>
        <w:t xml:space="preserve"> </w:t>
      </w:r>
      <w:r>
        <w:rPr>
          <w:b/>
          <w:bCs/>
        </w:rPr>
        <w:t xml:space="preserve">3% NIM in 2027</w:t>
      </w:r>
      <w:r>
        <w:t xml:space="preserve">, though it cautioned that the trajectory will not be linear.</w:t>
      </w:r>
    </w:p>
    <w:p>
      <w:pPr>
        <w:numPr>
          <w:ilvl w:val="0"/>
          <w:numId w:val="1004"/>
        </w:numPr>
      </w:pPr>
      <w:r>
        <w:rPr>
          <w:b/>
          <w:bCs/>
        </w:rPr>
        <w:t xml:space="preserve">How fast are loans and deposits growing?</w:t>
      </w:r>
      <w:r>
        <w:br/>
      </w:r>
      <w:r>
        <w:t xml:space="preserve">USB wants deposit growth to be relationship-led and generally closer to loan growth, even if not dollar-for-dollar.</w:t>
      </w:r>
    </w:p>
    <w:p>
      <w:pPr>
        <w:numPr>
          <w:ilvl w:val="0"/>
          <w:numId w:val="1004"/>
        </w:numPr>
      </w:pPr>
      <w:r>
        <w:rPr>
          <w:b/>
          <w:bCs/>
        </w:rPr>
        <w:t xml:space="preserve">Are deposit costs still stable?</w:t>
      </w:r>
      <w:r>
        <w:br/>
      </w:r>
      <w:r>
        <w:t xml:space="preserve">This is especially important if policy-rate uncertainty persists and deposit competition remains elevated.</w:t>
      </w:r>
    </w:p>
    <w:p>
      <w:pPr>
        <w:numPr>
          <w:ilvl w:val="0"/>
          <w:numId w:val="1004"/>
        </w:numPr>
      </w:pPr>
      <w:r>
        <w:rPr>
          <w:b/>
          <w:bCs/>
        </w:rPr>
        <w:t xml:space="preserve">What was the impact of securities repositioning, mortgage activity, and loan yields?</w:t>
      </w:r>
      <w:r>
        <w:br/>
      </w:r>
      <w:r>
        <w:t xml:space="preserve">These factors can cause NII and margin to diverge from the underlying lending trend.</w:t>
      </w:r>
    </w:p>
    <w:p>
      <w:r>
        <w:pict>
          <v:rect style="width:0;height:1.5pt" o:hralign="center" o:hrstd="t" o:hr="t"/>
        </w:pict>
      </w:r>
    </w:p>
    <w:bookmarkEnd w:id="12"/>
    <w:bookmarkEnd w:id="13"/>
    <w:bookmarkStart w:id="15" w:name="X70aa1ee8b118ad6f59f8c7541ce54c739397295"/>
    <w:p>
      <w:pPr>
        <w:pStyle w:val="Heading2"/>
      </w:pPr>
      <w:r>
        <w:t xml:space="preserve">Fee income: the most important differentiator in the setup</w:t>
      </w:r>
    </w:p>
    <w:p>
      <w:pPr>
        <w:pStyle w:val="FirstParagraph"/>
      </w:pPr>
      <w:r>
        <w:t xml:space="preserve">USB’s investment case increasingly depends on converting its diversified fee businesses into a sustained growth engine. In 1Q, fee revenue rose</w:t>
      </w:r>
      <w:r>
        <w:t xml:space="preserve"> </w:t>
      </w:r>
      <w:r>
        <w:rPr>
          <w:b/>
          <w:bCs/>
        </w:rPr>
        <w:t xml:space="preserve">6.9% YoY</w:t>
      </w:r>
      <w:r>
        <w:t xml:space="preserve">, led by:</w:t>
      </w:r>
    </w:p>
    <w:p>
      <w:pPr>
        <w:pStyle w:val="Compact"/>
        <w:numPr>
          <w:ilvl w:val="0"/>
          <w:numId w:val="1005"/>
        </w:numPr>
      </w:pPr>
      <w:r>
        <w:rPr>
          <w:b/>
          <w:bCs/>
        </w:rPr>
        <w:t xml:space="preserve">Capital markets revenue:</w:t>
      </w:r>
      <w:r>
        <w:t xml:space="preserve"> </w:t>
      </w:r>
      <w:r>
        <w:t xml:space="preserve">+29.1%</w:t>
      </w:r>
    </w:p>
    <w:p>
      <w:pPr>
        <w:pStyle w:val="Compact"/>
        <w:numPr>
          <w:ilvl w:val="0"/>
          <w:numId w:val="1005"/>
        </w:numPr>
      </w:pPr>
      <w:r>
        <w:rPr>
          <w:b/>
          <w:bCs/>
        </w:rPr>
        <w:t xml:space="preserve">Trust and investment-management fees:</w:t>
      </w:r>
      <w:r>
        <w:t xml:space="preserve"> </w:t>
      </w:r>
      <w:r>
        <w:t xml:space="preserve">+9.6%</w:t>
      </w:r>
    </w:p>
    <w:p>
      <w:pPr>
        <w:pStyle w:val="Compact"/>
        <w:numPr>
          <w:ilvl w:val="0"/>
          <w:numId w:val="1005"/>
        </w:numPr>
      </w:pPr>
      <w:r>
        <w:rPr>
          <w:b/>
          <w:bCs/>
        </w:rPr>
        <w:t xml:space="preserve">Lending and deposit-related fees:</w:t>
      </w:r>
      <w:r>
        <w:t xml:space="preserve"> </w:t>
      </w:r>
      <w:r>
        <w:t xml:space="preserve">+10.5%</w:t>
      </w:r>
    </w:p>
    <w:p>
      <w:pPr>
        <w:pStyle w:val="Compact"/>
        <w:numPr>
          <w:ilvl w:val="0"/>
          <w:numId w:val="1005"/>
        </w:numPr>
      </w:pPr>
      <w:r>
        <w:rPr>
          <w:b/>
          <w:bCs/>
        </w:rPr>
        <w:t xml:space="preserve">Merchant processing:</w:t>
      </w:r>
      <w:r>
        <w:t xml:space="preserve"> </w:t>
      </w:r>
      <w:r>
        <w:t xml:space="preserve">+5.1%</w:t>
      </w:r>
    </w:p>
    <w:p>
      <w:pPr>
        <w:pStyle w:val="Compact"/>
        <w:numPr>
          <w:ilvl w:val="0"/>
          <w:numId w:val="1005"/>
        </w:numPr>
      </w:pPr>
      <w:r>
        <w:rPr>
          <w:b/>
          <w:bCs/>
        </w:rPr>
        <w:t xml:space="preserve">Card revenue:</w:t>
      </w:r>
      <w:r>
        <w:t xml:space="preserve"> </w:t>
      </w:r>
      <w:r>
        <w:t xml:space="preserve">+4.5%</w:t>
      </w:r>
    </w:p>
    <w:p>
      <w:pPr>
        <w:pStyle w:val="FirstParagraph"/>
      </w:pPr>
      <w:r>
        <w:t xml:space="preserve">For 2Q, the most important issue is whether USB can continue to generate 6%–7% fee growth without depending excessively on market-sensitive capital-markets activity.</w:t>
      </w:r>
    </w:p>
    <w:bookmarkStart w:id="14" w:name="areas-to-monitor"/>
    <w:p>
      <w:pPr>
        <w:pStyle w:val="Heading3"/>
      </w:pPr>
      <w:r>
        <w:t xml:space="preserve">Areas to monitor</w:t>
      </w:r>
    </w:p>
    <w:p>
      <w:pPr>
        <w:pStyle w:val="Compact"/>
        <w:numPr>
          <w:ilvl w:val="0"/>
          <w:numId w:val="1006"/>
        </w:numPr>
      </w:pPr>
      <w:r>
        <w:rPr>
          <w:b/>
          <w:bCs/>
        </w:rPr>
        <w:t xml:space="preserve">Capital markets:</w:t>
      </w:r>
      <w:r>
        <w:t xml:space="preserve"> </w:t>
      </w:r>
      <w:r>
        <w:t xml:space="preserve">USB had strong fixed income, FX, derivatives, and corporate-bond underwriting performance in 1Q. The question is whether the activity level remained healthy through June.</w:t>
      </w:r>
    </w:p>
    <w:p>
      <w:pPr>
        <w:pStyle w:val="Compact"/>
        <w:numPr>
          <w:ilvl w:val="0"/>
          <w:numId w:val="1006"/>
        </w:numPr>
      </w:pPr>
      <w:r>
        <w:rPr>
          <w:b/>
          <w:bCs/>
        </w:rPr>
        <w:t xml:space="preserve">Payments:</w:t>
      </w:r>
      <w:r>
        <w:t xml:space="preserve"> </w:t>
      </w:r>
      <w:r>
        <w:t xml:space="preserve">Management has described merchant-processing economics as stronger than volume data alone suggest, because it is prioritizing profitable revenue rather than low-margin payment volume.</w:t>
      </w:r>
    </w:p>
    <w:p>
      <w:pPr>
        <w:pStyle w:val="Compact"/>
        <w:numPr>
          <w:ilvl w:val="0"/>
          <w:numId w:val="1006"/>
        </w:numPr>
      </w:pPr>
      <w:r>
        <w:rPr>
          <w:b/>
          <w:bCs/>
        </w:rPr>
        <w:t xml:space="preserve">Cards:</w:t>
      </w:r>
      <w:r>
        <w:t xml:space="preserve"> </w:t>
      </w:r>
      <w:r>
        <w:t xml:space="preserve">The company has increased marketing and customer acquisition, particularly among affluent transactors. That spending may initially pressure margins, but management expects stronger card-revenue growth to emerge over the next four to six quarters.</w:t>
      </w:r>
    </w:p>
    <w:p>
      <w:pPr>
        <w:pStyle w:val="Compact"/>
        <w:numPr>
          <w:ilvl w:val="0"/>
          <w:numId w:val="1006"/>
        </w:numPr>
      </w:pPr>
      <w:r>
        <w:rPr>
          <w:b/>
          <w:bCs/>
        </w:rPr>
        <w:t xml:space="preserve">Corporate payments and treasury management:</w:t>
      </w:r>
      <w:r>
        <w:t xml:space="preserve"> </w:t>
      </w:r>
      <w:r>
        <w:t xml:space="preserve">Management expected a prior-year government-spending-related drag to roll off during 2Q and be fully lapped in 3Q.</w:t>
      </w:r>
    </w:p>
    <w:p>
      <w:pPr>
        <w:pStyle w:val="Compact"/>
        <w:numPr>
          <w:ilvl w:val="0"/>
          <w:numId w:val="1006"/>
        </w:numPr>
      </w:pPr>
      <w:r>
        <w:rPr>
          <w:b/>
          <w:bCs/>
        </w:rPr>
        <w:t xml:space="preserve">Wealth and investment services:</w:t>
      </w:r>
      <w:r>
        <w:t xml:space="preserve"> </w:t>
      </w:r>
      <w:r>
        <w:t xml:space="preserve">This is a high-return fee category and an important indicator of broader client engagement.</w:t>
      </w:r>
    </w:p>
    <w:p>
      <w:r>
        <w:pict>
          <v:rect style="width:0;height:1.5pt" o:hralign="center" o:hrstd="t" o:hr="t"/>
        </w:pict>
      </w:r>
    </w:p>
    <w:bookmarkEnd w:id="14"/>
    <w:bookmarkEnd w:id="15"/>
    <w:bookmarkStart w:id="18" w:name="X22028f8c3f79c30aac94d10cd8680f379a356a2"/>
    <w:p>
      <w:pPr>
        <w:pStyle w:val="Heading2"/>
      </w:pPr>
      <w:r>
        <w:t xml:space="preserve">Amazon and BTIG: 2H26 catalysts, but timing matters</w:t>
      </w:r>
    </w:p>
    <w:bookmarkStart w:id="16" w:name="amazon-small-business-cards"/>
    <w:p>
      <w:pPr>
        <w:pStyle w:val="Heading3"/>
      </w:pPr>
      <w:r>
        <w:t xml:space="preserve">Amazon small-business cards</w:t>
      </w:r>
    </w:p>
    <w:p>
      <w:pPr>
        <w:pStyle w:val="FirstParagraph"/>
      </w:pPr>
      <w:r>
        <w:t xml:space="preserve">The Amazon partnership is a meaningful second-half catalyst, rather than a major 2Q revenue contributor. USB previously indicated that the conversion is expected to come online in</w:t>
      </w:r>
      <w:r>
        <w:t xml:space="preserve"> </w:t>
      </w:r>
      <w:r>
        <w:rPr>
          <w:b/>
          <w:bCs/>
        </w:rPr>
        <w:t xml:space="preserve">3Q26</w:t>
      </w:r>
      <w:r>
        <w:t xml:space="preserve">, bringing approximately:</w:t>
      </w:r>
    </w:p>
    <w:p>
      <w:pPr>
        <w:pStyle w:val="Compact"/>
        <w:numPr>
          <w:ilvl w:val="0"/>
          <w:numId w:val="1007"/>
        </w:numPr>
      </w:pPr>
      <w:r>
        <w:rPr>
          <w:b/>
          <w:bCs/>
        </w:rPr>
        <w:t xml:space="preserve">$1.6 billion of loans</w:t>
      </w:r>
    </w:p>
    <w:p>
      <w:pPr>
        <w:pStyle w:val="Compact"/>
        <w:numPr>
          <w:ilvl w:val="0"/>
          <w:numId w:val="1007"/>
        </w:numPr>
      </w:pPr>
      <m:oMath>
        <m:r>
          <m:t>75</m:t>
        </m:r>
        <m:r>
          <m:t>m</m:t>
        </m:r>
        <m:r>
          <m:t>i</m:t>
        </m:r>
        <m:r>
          <m:t>l</m:t>
        </m:r>
        <m:r>
          <m:t>l</m:t>
        </m:r>
        <m:r>
          <m:t>i</m:t>
        </m:r>
        <m:r>
          <m:t>o</m:t>
        </m:r>
        <m:r>
          <m:t>n</m:t>
        </m:r>
        <m:r>
          <m:rPr>
            <m:sty m:val="p"/>
          </m:rPr>
          <m:t>–</m:t>
        </m:r>
      </m:oMath>
      <w:r>
        <w:rPr>
          <w:b/>
          <w:bCs/>
        </w:rPr>
        <w:t xml:space="preserve">85 million of quarterly revenue</w:t>
      </w:r>
      <w:r>
        <w:t xml:space="preserve">, primarily NII</w:t>
      </w:r>
    </w:p>
    <w:p>
      <w:pPr>
        <w:pStyle w:val="Compact"/>
        <w:numPr>
          <w:ilvl w:val="0"/>
          <w:numId w:val="1007"/>
        </w:numPr>
      </w:pPr>
      <w:r>
        <w:t xml:space="preserve">An associated initial credit reserve build</w:t>
      </w:r>
    </w:p>
    <w:p>
      <w:pPr>
        <w:pStyle w:val="FirstParagraph"/>
      </w:pPr>
      <w:r>
        <w:t xml:space="preserve">Management has said the Amazon economics are already embedded in 2026 guidance. Therefore, a reaffirmation of guidance alongside a firm 3Q conversion timetable would be constructive. Any delay, higher-than-expected reserve, or materially different revenue cadence would be important.</w:t>
      </w:r>
    </w:p>
    <w:p>
      <w:pPr>
        <w:pStyle w:val="BodyText"/>
      </w:pPr>
      <w:r>
        <w:t xml:space="preserve">More strategically, Amazon extends USB’s ability to use co-brand cards as an entry point into broader small-business banking relationships. That opportunity is longer dated, but it is one reason the market may assign a higher growth profile to the payments franchise if execution is successful.</w:t>
      </w:r>
    </w:p>
    <w:bookmarkEnd w:id="16"/>
    <w:bookmarkStart w:id="17" w:name="btig-acquisition"/>
    <w:p>
      <w:pPr>
        <w:pStyle w:val="Heading3"/>
      </w:pPr>
      <w:r>
        <w:t xml:space="preserve">BTIG acquisition</w:t>
      </w:r>
    </w:p>
    <w:p>
      <w:pPr>
        <w:pStyle w:val="FirstParagraph"/>
      </w:pPr>
      <w:r>
        <w:t xml:space="preserve">USB expects the BTIG acquisition to add roughly</w:t>
      </w:r>
      <w:r>
        <w:t xml:space="preserve"> </w:t>
      </w:r>
      <w:r>
        <w:rPr>
          <w:b/>
          <w:bCs/>
        </w:rPr>
        <w:t xml:space="preserve">$200 million of quarterly fee revenue</w:t>
      </w:r>
      <w:r>
        <w:t xml:space="preserve"> </w:t>
      </w:r>
      <w:r>
        <w:t xml:space="preserve">once closed, though management had indicated that the impact should be concentrated in the second half rather than 2Q. The company previously anticipated a close in the latter part of 2Q, subject to approvals, and characterized the deal as slightly accretive for 2026 even including integration charges.</w:t>
      </w:r>
    </w:p>
    <w:p>
      <w:pPr>
        <w:pStyle w:val="BodyText"/>
      </w:pPr>
      <w:r>
        <w:t xml:space="preserve">Investors should look for:</w:t>
      </w:r>
    </w:p>
    <w:p>
      <w:pPr>
        <w:pStyle w:val="Compact"/>
        <w:numPr>
          <w:ilvl w:val="0"/>
          <w:numId w:val="1008"/>
        </w:numPr>
      </w:pPr>
      <w:r>
        <w:t xml:space="preserve">Confirmation of closing status and timing;</w:t>
      </w:r>
    </w:p>
    <w:p>
      <w:pPr>
        <w:pStyle w:val="Compact"/>
        <w:numPr>
          <w:ilvl w:val="0"/>
          <w:numId w:val="1008"/>
        </w:numPr>
      </w:pPr>
      <w:r>
        <w:t xml:space="preserve">Expected 2H revenue and expense contribution;</w:t>
      </w:r>
    </w:p>
    <w:p>
      <w:pPr>
        <w:pStyle w:val="Compact"/>
        <w:numPr>
          <w:ilvl w:val="0"/>
          <w:numId w:val="1008"/>
        </w:numPr>
      </w:pPr>
      <w:r>
        <w:t xml:space="preserve">Integration costs;</w:t>
      </w:r>
    </w:p>
    <w:p>
      <w:pPr>
        <w:pStyle w:val="Compact"/>
        <w:numPr>
          <w:ilvl w:val="0"/>
          <w:numId w:val="1008"/>
        </w:numPr>
      </w:pPr>
      <w:r>
        <w:t xml:space="preserve">The degree to which BTIG expands USB’s equity-capital-markets and investment-banking capabilities rather than simply adding revenue.</w:t>
      </w:r>
    </w:p>
    <w:p>
      <w:r>
        <w:pict>
          <v:rect style="width:0;height:1.5pt" o:hralign="center" o:hrstd="t" o:hr="t"/>
        </w:pict>
      </w:r>
    </w:p>
    <w:bookmarkEnd w:id="17"/>
    <w:bookmarkEnd w:id="18"/>
    <w:bookmarkStart w:id="20" w:name="X66d1048d028e3b9256fa00cf6988c6702b84243"/>
    <w:p>
      <w:pPr>
        <w:pStyle w:val="Heading2"/>
      </w:pPr>
      <w:r>
        <w:t xml:space="preserve">Credit: stable overall, but cards and commercial remain the watch items</w:t>
      </w:r>
    </w:p>
    <w:p>
      <w:pPr>
        <w:pStyle w:val="FirstParagraph"/>
      </w:pPr>
      <w:r>
        <w:t xml:space="preserve">USB’s credit trends were broadly sound in 1Q: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Credit metric</w:t>
            </w:r>
          </w:p>
        </w:tc>
        <w:tc>
          <w:tcPr/>
          <w:p>
            <w:pPr>
              <w:pStyle w:val="Compact"/>
              <w:jc w:val="right"/>
            </w:pPr>
            <w:r>
              <w:t xml:space="preserve">1Q26</w:t>
            </w:r>
          </w:p>
        </w:tc>
      </w:tr>
      <w:tr>
        <w:tc>
          <w:tcPr/>
          <w:p>
            <w:pPr>
              <w:pStyle w:val="Compact"/>
            </w:pPr>
            <w:r>
              <w:t xml:space="preserve">Net charge-off ratio</w:t>
            </w:r>
          </w:p>
        </w:tc>
        <w:tc>
          <w:tcPr/>
          <w:p>
            <w:pPr>
              <w:pStyle w:val="Compact"/>
              <w:jc w:val="right"/>
            </w:pPr>
            <w:r>
              <w:rPr>
                <w:b/>
                <w:bCs/>
              </w:rPr>
              <w:t xml:space="preserve">0.56%</w:t>
            </w:r>
          </w:p>
        </w:tc>
      </w:tr>
      <w:tr>
        <w:tc>
          <w:tcPr/>
          <w:p>
            <w:pPr>
              <w:pStyle w:val="Compact"/>
            </w:pPr>
            <w:r>
              <w:t xml:space="preserve">Provision for credit losses</w:t>
            </w:r>
          </w:p>
        </w:tc>
        <w:tc>
          <w:tcPr/>
          <w:p>
            <w:pPr>
              <w:pStyle w:val="Compact"/>
              <w:jc w:val="right"/>
            </w:pPr>
            <w:r>
              <w:rPr>
                <w:b/>
                <w:bCs/>
              </w:rPr>
              <w:t xml:space="preserve">$576 million</w:t>
            </w:r>
          </w:p>
        </w:tc>
      </w:tr>
      <w:tr>
        <w:tc>
          <w:tcPr/>
          <w:p>
            <w:pPr>
              <w:pStyle w:val="Compact"/>
            </w:pPr>
            <w:r>
              <w:t xml:space="preserve">Allowance for credit losses / period-end loans</w:t>
            </w:r>
          </w:p>
        </w:tc>
        <w:tc>
          <w:tcPr/>
          <w:p>
            <w:pPr>
              <w:pStyle w:val="Compact"/>
              <w:jc w:val="right"/>
            </w:pPr>
            <w:r>
              <w:rPr>
                <w:b/>
                <w:bCs/>
              </w:rPr>
              <w:t xml:space="preserve">2.00%</w:t>
            </w:r>
          </w:p>
        </w:tc>
      </w:tr>
      <w:tr>
        <w:tc>
          <w:tcPr/>
          <w:p>
            <w:pPr>
              <w:pStyle w:val="Compact"/>
            </w:pPr>
            <w:r>
              <w:t xml:space="preserve">Nonperforming assets / loans plus ORE</w:t>
            </w:r>
          </w:p>
        </w:tc>
        <w:tc>
          <w:tcPr/>
          <w:p>
            <w:pPr>
              <w:pStyle w:val="Compact"/>
              <w:jc w:val="right"/>
            </w:pPr>
            <w:r>
              <w:rPr>
                <w:b/>
                <w:bCs/>
              </w:rPr>
              <w:t xml:space="preserve">0.38%</w:t>
            </w:r>
          </w:p>
        </w:tc>
      </w:tr>
      <w:tr>
        <w:tc>
          <w:tcPr/>
          <w:p>
            <w:pPr>
              <w:pStyle w:val="Compact"/>
            </w:pPr>
            <w:r>
              <w:t xml:space="preserve">Nonperforming assets</w:t>
            </w:r>
          </w:p>
        </w:tc>
        <w:tc>
          <w:tcPr/>
          <w:p>
            <w:pPr>
              <w:pStyle w:val="Compact"/>
              <w:jc w:val="right"/>
            </w:pPr>
            <w:r>
              <w:rPr>
                <w:b/>
                <w:bCs/>
              </w:rPr>
              <w:t xml:space="preserve">$1.53 billion</w:t>
            </w:r>
          </w:p>
        </w:tc>
      </w:tr>
    </w:tbl>
    <w:p>
      <w:pPr>
        <w:pStyle w:val="BodyText"/>
      </w:pPr>
      <w:r>
        <w:t xml:space="preserve">The positive is that nonperforming assets continued to decline, especially in CRE. The less favorable development was a modest sequential increase in net charge-offs, driven by commercial loans and credit cards.</w:t>
      </w:r>
    </w:p>
    <w:bookmarkStart w:id="19" w:name="what-investors-should-focus-on"/>
    <w:p>
      <w:pPr>
        <w:pStyle w:val="Heading3"/>
      </w:pPr>
      <w:r>
        <w:t xml:space="preserve">What investors should focus on</w:t>
      </w:r>
    </w:p>
    <w:p>
      <w:pPr>
        <w:pStyle w:val="Compact"/>
        <w:numPr>
          <w:ilvl w:val="0"/>
          <w:numId w:val="1009"/>
        </w:numPr>
      </w:pPr>
      <w:r>
        <w:rPr>
          <w:b/>
          <w:bCs/>
        </w:rPr>
        <w:t xml:space="preserve">Credit-card charge-offs and delinquencies:</w:t>
      </w:r>
      <w:r>
        <w:t xml:space="preserve"> </w:t>
      </w:r>
      <w:r>
        <w:t xml:space="preserve">Card net charge-offs were 3.96% in 1Q, up sequentially but lower than a year ago. With USB expanding card acquisition and preparing to onboard Amazon balances, investors will scrutinize reserve assumptions and underwriting discipline.</w:t>
      </w:r>
    </w:p>
    <w:p>
      <w:pPr>
        <w:pStyle w:val="Compact"/>
        <w:numPr>
          <w:ilvl w:val="0"/>
          <w:numId w:val="1009"/>
        </w:numPr>
      </w:pPr>
      <w:r>
        <w:rPr>
          <w:b/>
          <w:bCs/>
        </w:rPr>
        <w:t xml:space="preserve">Commercial credit:</w:t>
      </w:r>
      <w:r>
        <w:t xml:space="preserve"> </w:t>
      </w:r>
      <w:r>
        <w:t xml:space="preserve">Commercial charge-offs rose in 1Q. USB has emphasized strong structure and collateralization within its non-depository financial institution and private-credit-related exposures; the 2Q discussion should test whether that confidence remains warranted.</w:t>
      </w:r>
    </w:p>
    <w:p>
      <w:pPr>
        <w:pStyle w:val="Compact"/>
        <w:numPr>
          <w:ilvl w:val="0"/>
          <w:numId w:val="1009"/>
        </w:numPr>
      </w:pPr>
      <w:r>
        <w:rPr>
          <w:b/>
          <w:bCs/>
        </w:rPr>
        <w:t xml:space="preserve">CRE resolution trends:</w:t>
      </w:r>
      <w:r>
        <w:t xml:space="preserve"> </w:t>
      </w:r>
      <w:r>
        <w:t xml:space="preserve">CRE nonperforming assets have improved substantially from year-ago levels. Continued resolution without new problem credits would support the view that the legacy CRE issue is receding.</w:t>
      </w:r>
    </w:p>
    <w:p>
      <w:pPr>
        <w:pStyle w:val="Compact"/>
        <w:numPr>
          <w:ilvl w:val="0"/>
          <w:numId w:val="1009"/>
        </w:numPr>
      </w:pPr>
      <w:r>
        <w:rPr>
          <w:b/>
          <w:bCs/>
        </w:rPr>
        <w:t xml:space="preserve">Provision versus charge-offs:</w:t>
      </w:r>
      <w:r>
        <w:t xml:space="preserve"> </w:t>
      </w:r>
      <w:r>
        <w:t xml:space="preserve">A provision materially above charge-offs could signal growth-related reserving or a more cautious macro outlook; investors will want management to separate those drivers.</w:t>
      </w:r>
    </w:p>
    <w:p>
      <w:r>
        <w:pict>
          <v:rect style="width:0;height:1.5pt" o:hralign="center" o:hrstd="t" o:hr="t"/>
        </w:pict>
      </w:r>
    </w:p>
    <w:bookmarkEnd w:id="19"/>
    <w:bookmarkEnd w:id="20"/>
    <w:bookmarkStart w:id="21" w:name="Xf8f0ce4e9446257cb6005a3005bf9aa2a27cf58"/>
    <w:p>
      <w:pPr>
        <w:pStyle w:val="Heading2"/>
      </w:pPr>
      <w:r>
        <w:t xml:space="preserve">Expenses and operating leverage: proof that the improved model is durable</w:t>
      </w:r>
    </w:p>
    <w:p>
      <w:pPr>
        <w:pStyle w:val="FirstParagraph"/>
      </w:pPr>
      <w:r>
        <w:t xml:space="preserve">USB delivered</w:t>
      </w:r>
      <w:r>
        <w:t xml:space="preserve"> </w:t>
      </w:r>
      <w:r>
        <w:rPr>
          <w:b/>
          <w:bCs/>
        </w:rPr>
        <w:t xml:space="preserve">440 bp of positive operating leverage</w:t>
      </w:r>
      <w:r>
        <w:t xml:space="preserve"> </w:t>
      </w:r>
      <w:r>
        <w:t xml:space="preserve">in 1Q and improved its efficiency ratio to</w:t>
      </w:r>
      <w:r>
        <w:t xml:space="preserve"> </w:t>
      </w:r>
      <w:r>
        <w:rPr>
          <w:b/>
          <w:bCs/>
        </w:rPr>
        <w:t xml:space="preserve">58.2%</w:t>
      </w:r>
      <w:r>
        <w:t xml:space="preserve">, from 60.8% a year earlier. The company has now emphasized multiple quarters of positive operating leverage and views productivity as structural, supported by automation, technology rationalization, and future AI deployment.</w:t>
      </w:r>
    </w:p>
    <w:p>
      <w:pPr>
        <w:pStyle w:val="BodyText"/>
      </w:pPr>
      <w:r>
        <w:t xml:space="preserve">However, 2Q expenses are expected to rise 3%–4% YoY, reflecting deliberate reinvestment in:</w:t>
      </w:r>
    </w:p>
    <w:p>
      <w:pPr>
        <w:pStyle w:val="Compact"/>
        <w:numPr>
          <w:ilvl w:val="0"/>
          <w:numId w:val="1010"/>
        </w:numPr>
      </w:pPr>
      <w:r>
        <w:t xml:space="preserve">Card marketing and customer acquisition;</w:t>
      </w:r>
    </w:p>
    <w:p>
      <w:pPr>
        <w:pStyle w:val="Compact"/>
        <w:numPr>
          <w:ilvl w:val="0"/>
          <w:numId w:val="1010"/>
        </w:numPr>
      </w:pPr>
      <w:r>
        <w:t xml:space="preserve">Technology and product development;</w:t>
      </w:r>
    </w:p>
    <w:p>
      <w:pPr>
        <w:pStyle w:val="Compact"/>
        <w:numPr>
          <w:ilvl w:val="0"/>
          <w:numId w:val="1010"/>
        </w:numPr>
      </w:pPr>
      <w:r>
        <w:t xml:space="preserve">Branch format upgrades and selective market densification;</w:t>
      </w:r>
    </w:p>
    <w:p>
      <w:pPr>
        <w:pStyle w:val="Compact"/>
        <w:numPr>
          <w:ilvl w:val="0"/>
          <w:numId w:val="1010"/>
        </w:numPr>
      </w:pPr>
      <w:r>
        <w:t xml:space="preserve">Growth in small business and payments;</w:t>
      </w:r>
    </w:p>
    <w:p>
      <w:pPr>
        <w:pStyle w:val="Compact"/>
        <w:numPr>
          <w:ilvl w:val="0"/>
          <w:numId w:val="1010"/>
        </w:numPr>
      </w:pPr>
      <w:r>
        <w:t xml:space="preserve">Potentially, acquisition-related expenses.</w:t>
      </w:r>
    </w:p>
    <w:p>
      <w:pPr>
        <w:pStyle w:val="FirstParagraph"/>
      </w:pPr>
      <w:r>
        <w:t xml:space="preserve">The correct read-through is therefore not “lower expenses are always better.” A good result is one where revenue grows sufficiently faster than costs to preserve meaningful operating leverage while USB funds attractive growth opportunities.</w:t>
      </w:r>
    </w:p>
    <w:p>
      <w:r>
        <w:pict>
          <v:rect style="width:0;height:1.5pt" o:hralign="center" o:hrstd="t" o:hr="t"/>
        </w:pict>
      </w:r>
    </w:p>
    <w:bookmarkEnd w:id="21"/>
    <w:bookmarkStart w:id="22" w:name="X4e589290a17bd2005dd4d20855031a040405423"/>
    <w:p>
      <w:pPr>
        <w:pStyle w:val="Heading2"/>
      </w:pPr>
      <w:r>
        <w:t xml:space="preserve">Capital return: an underappreciated support to the story</w:t>
      </w:r>
    </w:p>
    <w:p>
      <w:pPr>
        <w:pStyle w:val="FirstParagraph"/>
      </w:pPr>
      <w:r>
        <w:t xml:space="preserve">USB ended 1Q with a</w:t>
      </w:r>
      <w:r>
        <w:t xml:space="preserve"> </w:t>
      </w:r>
      <w:r>
        <w:rPr>
          <w:b/>
          <w:bCs/>
        </w:rPr>
        <w:t xml:space="preserve">10.8% CET1 ratio</w:t>
      </w:r>
      <w:r>
        <w:t xml:space="preserve"> </w:t>
      </w:r>
      <w:r>
        <w:t xml:space="preserve">and a</w:t>
      </w:r>
      <w:r>
        <w:t xml:space="preserve"> </w:t>
      </w:r>
      <w:r>
        <w:rPr>
          <w:b/>
          <w:bCs/>
        </w:rPr>
        <w:t xml:space="preserve">$4.1 billion remaining share-repurchase authorization</w:t>
      </w:r>
      <w:r>
        <w:t xml:space="preserve">. Following its June stress-test update, the company said its stress capital buffer would remain</w:t>
      </w:r>
      <w:r>
        <w:t xml:space="preserve"> </w:t>
      </w:r>
      <w:r>
        <w:rPr>
          <w:b/>
          <w:bCs/>
        </w:rPr>
        <w:t xml:space="preserve">2.6% through October 1, 2027</w:t>
      </w:r>
      <w:r>
        <w:t xml:space="preserve">, and it announced a planned</w:t>
      </w:r>
      <w:r>
        <w:t xml:space="preserve"> </w:t>
      </w:r>
      <w:r>
        <w:rPr>
          <w:b/>
          <w:bCs/>
        </w:rPr>
        <w:t xml:space="preserve">3.8% increase in the quarterly common dividend to $0.54 per share</w:t>
      </w:r>
      <w:r>
        <w:t xml:space="preserve">, effective in 3Q26 subject to board approval.</w:t>
      </w:r>
    </w:p>
    <w:p>
      <w:pPr>
        <w:pStyle w:val="BodyText"/>
      </w:pPr>
      <w:r>
        <w:t xml:space="preserve">Capital questions for the call:</w:t>
      </w:r>
    </w:p>
    <w:p>
      <w:pPr>
        <w:pStyle w:val="Compact"/>
        <w:numPr>
          <w:ilvl w:val="0"/>
          <w:numId w:val="1011"/>
        </w:numPr>
      </w:pPr>
      <w:r>
        <w:t xml:space="preserve">Is the company still increasing buybacks from the $200 million quarterly pace indicated in 1Q?</w:t>
      </w:r>
    </w:p>
    <w:p>
      <w:pPr>
        <w:pStyle w:val="Compact"/>
        <w:numPr>
          <w:ilvl w:val="0"/>
          <w:numId w:val="1011"/>
        </w:numPr>
      </w:pPr>
      <w:r>
        <w:t xml:space="preserve">How does stronger loan growth affect the pace of capital deployment?</w:t>
      </w:r>
    </w:p>
    <w:p>
      <w:pPr>
        <w:pStyle w:val="Compact"/>
        <w:numPr>
          <w:ilvl w:val="0"/>
          <w:numId w:val="1011"/>
        </w:numPr>
      </w:pPr>
      <w:r>
        <w:t xml:space="preserve">Does management see any change in the timing or implications of potentially becoming a Category II bank under the current framework?</w:t>
      </w:r>
    </w:p>
    <w:p>
      <w:pPr>
        <w:pStyle w:val="Compact"/>
        <w:numPr>
          <w:ilvl w:val="0"/>
          <w:numId w:val="1011"/>
        </w:numPr>
      </w:pPr>
      <w:r>
        <w:t xml:space="preserve">Are there developments in regulatory capital rules that could accelerate capital-return normalization?</w:t>
      </w:r>
    </w:p>
    <w:p>
      <w:pPr>
        <w:pStyle w:val="FirstParagraph"/>
      </w:pPr>
      <w:r>
        <w:t xml:space="preserve">USB’s stated long-term payout aspiration of</w:t>
      </w:r>
      <w:r>
        <w:t xml:space="preserve"> </w:t>
      </w:r>
      <w:r>
        <w:rPr>
          <w:b/>
          <w:bCs/>
        </w:rPr>
        <w:t xml:space="preserve">70%–75%</w:t>
      </w:r>
      <w:r>
        <w:t xml:space="preserve"> </w:t>
      </w:r>
      <w:r>
        <w:t xml:space="preserve">remains a meaningful support to the bull case, though management has emphasized that balance-sheet growth and capital-rule timing can move the exact timing by one or two quarters.</w:t>
      </w:r>
    </w:p>
    <w:p>
      <w:r>
        <w:pict>
          <v:rect style="width:0;height:1.5pt" o:hralign="center" o:hrstd="t" o:hr="t"/>
        </w:pict>
      </w:r>
    </w:p>
    <w:bookmarkEnd w:id="22"/>
    <w:bookmarkStart w:id="23"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Bullish read-through</w:t>
            </w:r>
          </w:p>
        </w:tc>
        <w:tc>
          <w:tcPr/>
          <w:p>
            <w:pPr>
              <w:pStyle w:val="Compact"/>
            </w:pPr>
            <w:r>
              <w:t xml:space="preserve">Bearish read-through</w:t>
            </w:r>
          </w:p>
        </w:tc>
      </w:tr>
      <w:tr>
        <w:tc>
          <w:tcPr/>
          <w:p>
            <w:pPr>
              <w:pStyle w:val="Compact"/>
            </w:pPr>
            <w:r>
              <w:rPr>
                <w:b/>
                <w:bCs/>
              </w:rPr>
              <w:t xml:space="preserve">Revenue</w:t>
            </w:r>
          </w:p>
        </w:tc>
        <w:tc>
          <w:tcPr/>
          <w:p>
            <w:pPr>
              <w:pStyle w:val="Compact"/>
            </w:pPr>
            <w:r>
              <w:t xml:space="preserve">NII and fees near upper-end of guide; full-year outlook maintained or improved</w:t>
            </w:r>
          </w:p>
        </w:tc>
        <w:tc>
          <w:tcPr/>
          <w:p>
            <w:pPr>
              <w:pStyle w:val="Compact"/>
            </w:pPr>
            <w:r>
              <w:t xml:space="preserve">NII misses from margin/funding pressure; fee slowdown</w:t>
            </w:r>
          </w:p>
        </w:tc>
      </w:tr>
      <w:tr>
        <w:tc>
          <w:tcPr/>
          <w:p>
            <w:pPr>
              <w:pStyle w:val="Compact"/>
            </w:pPr>
            <w:r>
              <w:rPr>
                <w:b/>
                <w:bCs/>
              </w:rPr>
              <w:t xml:space="preserve">NIM</w:t>
            </w:r>
          </w:p>
        </w:tc>
        <w:tc>
          <w:tcPr/>
          <w:p>
            <w:pPr>
              <w:pStyle w:val="Compact"/>
            </w:pPr>
            <w:r>
              <w:t xml:space="preserve">Sequential expansion and continued confidence in 3% 2027 path</w:t>
            </w:r>
          </w:p>
        </w:tc>
        <w:tc>
          <w:tcPr/>
          <w:p>
            <w:pPr>
              <w:pStyle w:val="Compact"/>
            </w:pPr>
            <w:r>
              <w:t xml:space="preserve">Flat/down NIM with tighter loan spreads or higher deposit costs</w:t>
            </w:r>
          </w:p>
        </w:tc>
      </w:tr>
      <w:tr>
        <w:tc>
          <w:tcPr/>
          <w:p>
            <w:pPr>
              <w:pStyle w:val="Compact"/>
            </w:pPr>
            <w:r>
              <w:rPr>
                <w:b/>
                <w:bCs/>
              </w:rPr>
              <w:t xml:space="preserve">Loans/deposits</w:t>
            </w:r>
          </w:p>
        </w:tc>
        <w:tc>
          <w:tcPr/>
          <w:p>
            <w:pPr>
              <w:pStyle w:val="Compact"/>
            </w:pPr>
            <w:r>
              <w:t xml:space="preserve">Mid-single-digit lending growth with stable relationship deposits</w:t>
            </w:r>
          </w:p>
        </w:tc>
        <w:tc>
          <w:tcPr/>
          <w:p>
            <w:pPr>
              <w:pStyle w:val="Compact"/>
            </w:pPr>
            <w:r>
              <w:t xml:space="preserve">Loan growth requires higher-cost funding or becomes lower-yielding</w:t>
            </w:r>
          </w:p>
        </w:tc>
      </w:tr>
      <w:tr>
        <w:tc>
          <w:tcPr/>
          <w:p>
            <w:pPr>
              <w:pStyle w:val="Compact"/>
            </w:pPr>
            <w:r>
              <w:rPr>
                <w:b/>
                <w:bCs/>
              </w:rPr>
              <w:t xml:space="preserve">Fees</w:t>
            </w:r>
          </w:p>
        </w:tc>
        <w:tc>
          <w:tcPr/>
          <w:p>
            <w:pPr>
              <w:pStyle w:val="Compact"/>
            </w:pPr>
            <w:r>
              <w:t xml:space="preserve">Broad strength in payments, wealth, and capital markets</w:t>
            </w:r>
          </w:p>
        </w:tc>
        <w:tc>
          <w:tcPr/>
          <w:p>
            <w:pPr>
              <w:pStyle w:val="Compact"/>
            </w:pPr>
            <w:r>
              <w:t xml:space="preserve">Capital-markets-dependent beat or weaker payments trend</w:t>
            </w:r>
          </w:p>
        </w:tc>
      </w:tr>
      <w:tr>
        <w:tc>
          <w:tcPr/>
          <w:p>
            <w:pPr>
              <w:pStyle w:val="Compact"/>
            </w:pPr>
            <w:r>
              <w:rPr>
                <w:b/>
                <w:bCs/>
              </w:rPr>
              <w:t xml:space="preserve">Credit</w:t>
            </w:r>
          </w:p>
        </w:tc>
        <w:tc>
          <w:tcPr/>
          <w:p>
            <w:pPr>
              <w:pStyle w:val="Compact"/>
            </w:pPr>
            <w:r>
              <w:t xml:space="preserve">Stable provision, controlled card losses, continued CRE improvement</w:t>
            </w:r>
          </w:p>
        </w:tc>
        <w:tc>
          <w:tcPr/>
          <w:p>
            <w:pPr>
              <w:pStyle w:val="Compact"/>
            </w:pPr>
            <w:r>
              <w:t xml:space="preserve">Higher commercial/card losses or incremental reserve building</w:t>
            </w:r>
          </w:p>
        </w:tc>
      </w:tr>
      <w:tr>
        <w:tc>
          <w:tcPr/>
          <w:p>
            <w:pPr>
              <w:pStyle w:val="Compact"/>
            </w:pPr>
            <w:r>
              <w:rPr>
                <w:b/>
                <w:bCs/>
              </w:rPr>
              <w:t xml:space="preserve">Expenses</w:t>
            </w:r>
          </w:p>
        </w:tc>
        <w:tc>
          <w:tcPr/>
          <w:p>
            <w:pPr>
              <w:pStyle w:val="Compact"/>
            </w:pPr>
            <w:r>
              <w:t xml:space="preserve">Growth investments remain disciplined; strong operating leverage</w:t>
            </w:r>
          </w:p>
        </w:tc>
        <w:tc>
          <w:tcPr/>
          <w:p>
            <w:pPr>
              <w:pStyle w:val="Compact"/>
            </w:pPr>
            <w:r>
              <w:t xml:space="preserve">Expense growth exceeds guide without revenue payoff</w:t>
            </w:r>
          </w:p>
        </w:tc>
      </w:tr>
      <w:tr>
        <w:tc>
          <w:tcPr/>
          <w:p>
            <w:pPr>
              <w:pStyle w:val="Compact"/>
            </w:pPr>
            <w:r>
              <w:rPr>
                <w:b/>
                <w:bCs/>
              </w:rPr>
              <w:t xml:space="preserve">Amazon / BTIG</w:t>
            </w:r>
          </w:p>
        </w:tc>
        <w:tc>
          <w:tcPr/>
          <w:p>
            <w:pPr>
              <w:pStyle w:val="Compact"/>
            </w:pPr>
            <w:r>
              <w:t xml:space="preserve">Firm conversion/closing updates and intact economics</w:t>
            </w:r>
          </w:p>
        </w:tc>
        <w:tc>
          <w:tcPr/>
          <w:p>
            <w:pPr>
              <w:pStyle w:val="Compact"/>
            </w:pPr>
            <w:r>
              <w:t xml:space="preserve">Delay, larger reserve, higher integration cost, or weak cadence</w:t>
            </w:r>
          </w:p>
        </w:tc>
      </w:tr>
      <w:tr>
        <w:tc>
          <w:tcPr/>
          <w:p>
            <w:pPr>
              <w:pStyle w:val="Compact"/>
            </w:pPr>
            <w:r>
              <w:rPr>
                <w:b/>
                <w:bCs/>
              </w:rPr>
              <w:t xml:space="preserve">Capital return</w:t>
            </w:r>
          </w:p>
        </w:tc>
        <w:tc>
          <w:tcPr/>
          <w:p>
            <w:pPr>
              <w:pStyle w:val="Compact"/>
            </w:pPr>
            <w:r>
              <w:t xml:space="preserve">Buyback ramp and confidence in dividend/capital flexibility</w:t>
            </w:r>
          </w:p>
        </w:tc>
        <w:tc>
          <w:tcPr/>
          <w:p>
            <w:pPr>
              <w:pStyle w:val="Compact"/>
            </w:pPr>
            <w:r>
              <w:t xml:space="preserve">Capital deployment delayed by RWA or regulatory uncertainty</w:t>
            </w:r>
          </w:p>
        </w:tc>
      </w:tr>
    </w:tbl>
    <w:p>
      <w:r>
        <w:pict>
          <v:rect style="width:0;height:1.5pt" o:hralign="center" o:hrstd="t" o:hr="t"/>
        </w:pict>
      </w:r>
    </w:p>
    <w:bookmarkEnd w:id="23"/>
    <w:bookmarkStart w:id="24" w:name="investment-framing-into-the-print"/>
    <w:p>
      <w:pPr>
        <w:pStyle w:val="Heading2"/>
      </w:pPr>
      <w:r>
        <w:t xml:space="preserve">Investment framing into the print</w:t>
      </w:r>
    </w:p>
    <w:p>
      <w:pPr>
        <w:pStyle w:val="FirstParagraph"/>
      </w:pPr>
      <w:r>
        <w:rPr>
          <w:b/>
          <w:bCs/>
        </w:rPr>
        <w:t xml:space="preserve">The bullish case:</w:t>
      </w:r>
      <w:r>
        <w:t xml:space="preserve"> </w:t>
      </w:r>
      <w:r>
        <w:t xml:space="preserve">USB is evolving from a slow-growth regional-bank narrative into a more diversified, fee-heavy compounder. Continued commercial and card loan growth, deposit stability, payments momentum, improving capital-markets capabilities, operational productivity, Amazon, and BTIG could support a sustained period of positive operating leverage and higher returns.</w:t>
      </w:r>
    </w:p>
    <w:p>
      <w:pPr>
        <w:pStyle w:val="BodyText"/>
      </w:pPr>
      <w:r>
        <w:rPr>
          <w:b/>
          <w:bCs/>
        </w:rPr>
        <w:t xml:space="preserve">The bearish case:</w:t>
      </w:r>
      <w:r>
        <w:t xml:space="preserve"> </w:t>
      </w:r>
      <w:r>
        <w:t xml:space="preserve">Much of the near-term improvement may already be reflected in the share price. The stock could be vulnerable if margin improvement stalls, expense investments rise faster than revenue, credit-card normalization worsens, commercial losses increase, or the timing/economics of Amazon and BTIG prove less favorable than expected.</w:t>
      </w:r>
    </w:p>
    <w:p>
      <w:pPr>
        <w:pStyle w:val="BodyText"/>
      </w:pPr>
      <w:r>
        <w:rPr>
          <w:b/>
          <w:bCs/>
        </w:rPr>
        <w:t xml:space="preserve">Most likely market determinant:</w:t>
      </w:r>
      <w:r>
        <w:t xml:space="preserve"> </w:t>
      </w:r>
      <w:r>
        <w:t xml:space="preserve">Management’s forward commentary on</w:t>
      </w:r>
      <w:r>
        <w:t xml:space="preserve"> </w:t>
      </w:r>
      <w:r>
        <w:rPr>
          <w:b/>
          <w:bCs/>
        </w:rPr>
        <w:t xml:space="preserve">NII/NIM, the upper versus lower half of full-year revenue guidance, and the timing of Amazon/BTIG</w:t>
      </w:r>
      <w:r>
        <w:t xml:space="preserve"> </w:t>
      </w:r>
      <w:r>
        <w:t xml:space="preserve">will likely matter more than a modest EPS beat or miss.</w:t>
      </w:r>
    </w:p>
    <w:p>
      <w:r>
        <w:pict>
          <v:rect style="width:0;height:1.5pt" o:hralign="center" o:hrstd="t" o:hr="t"/>
        </w:pict>
      </w:r>
    </w:p>
    <w:bookmarkEnd w:id="24"/>
    <w:bookmarkStart w:id="25" w:name="sources-reviewed"/>
    <w:p>
      <w:pPr>
        <w:pStyle w:val="Heading2"/>
      </w:pPr>
      <w:r>
        <w:t xml:space="preserve">Sources reviewed</w:t>
      </w:r>
    </w:p>
    <w:p>
      <w:pPr>
        <w:pStyle w:val="Compact"/>
        <w:numPr>
          <w:ilvl w:val="0"/>
          <w:numId w:val="1012"/>
        </w:numPr>
      </w:pPr>
      <w:r>
        <w:t xml:space="preserve">U.S. Bancorp 1Q26 earnings release and financial supplement — April 16, 2026</w:t>
      </w:r>
    </w:p>
    <w:p>
      <w:pPr>
        <w:pStyle w:val="Compact"/>
        <w:numPr>
          <w:ilvl w:val="0"/>
          <w:numId w:val="1012"/>
        </w:numPr>
      </w:pPr>
      <w:r>
        <w:t xml:space="preserve">U.S. Bancorp 1Q26 earnings-call transcript — April 16, 2026</w:t>
      </w:r>
    </w:p>
    <w:p>
      <w:pPr>
        <w:pStyle w:val="Compact"/>
        <w:numPr>
          <w:ilvl w:val="0"/>
          <w:numId w:val="1012"/>
        </w:numPr>
      </w:pPr>
      <w:r>
        <w:t xml:space="preserve">U.S. Bancorp DFAST/stress-capital-buffer and capital-actions release — June 24, 2026</w:t>
      </w:r>
    </w:p>
    <w:p>
      <w:pPr>
        <w:pStyle w:val="Compact"/>
        <w:numPr>
          <w:ilvl w:val="0"/>
          <w:numId w:val="1012"/>
        </w:numPr>
      </w:pPr>
      <w:r>
        <w:t xml:space="preserve">Historical market-price data through July 15,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2026-07-16T01:09:35Z</dcterms:created>
  <dcterms:modified xsi:type="dcterms:W3CDTF">2026-07-16T01:09:35Z</dcterms:modified>
</cp:coreProperties>
</file>

<file path=docProps/custom.xml><?xml version="1.0" encoding="utf-8"?>
<Properties xmlns="http://schemas.openxmlformats.org/officeDocument/2006/custom-properties" xmlns:vt="http://schemas.openxmlformats.org/officeDocument/2006/docPropsVTypes"/>
</file>