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U.S. Bancorp (USB)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U.S. Bancorp</w:t>
            </w:r>
          </w:p>
        </w:tc>
      </w:tr>
      <w:tr>
        <w:tc>
          <w:tcPr>
            <w:tcW w:type="dxa" w:w="4320"/>
          </w:tcPr>
          <w:p>
            <w:r>
              <w:rPr>
                <w:rFonts w:ascii="Calibri" w:hAnsi="Calibri"/>
                <w:b/>
                <w:sz w:val="22"/>
              </w:rPr>
              <w:t>Ticker</w:t>
            </w:r>
          </w:p>
        </w:tc>
        <w:tc>
          <w:tcPr>
            <w:tcW w:type="dxa" w:w="4320"/>
          </w:tcPr>
          <w:p>
            <w:r>
              <w:rPr>
                <w:rFonts w:ascii="Calibri" w:hAnsi="Calibri"/>
                <w:sz w:val="22"/>
              </w:rPr>
              <w:t>USB</w:t>
            </w:r>
          </w:p>
        </w:tc>
      </w:tr>
      <w:tr>
        <w:tc>
          <w:tcPr>
            <w:tcW w:type="dxa" w:w="4320"/>
          </w:tcPr>
          <w:p>
            <w:r>
              <w:rPr>
                <w:rFonts w:ascii="Calibri" w:hAnsi="Calibri"/>
                <w:b/>
                <w:sz w:val="22"/>
              </w:rPr>
              <w:t>Reporting Quarter</w:t>
            </w:r>
          </w:p>
        </w:tc>
        <w:tc>
          <w:tcPr>
            <w:tcW w:type="dxa" w:w="4320"/>
          </w:tcPr>
          <w:p>
            <w:r>
              <w:rPr>
                <w:rFonts w:ascii="Calibri" w:hAnsi="Calibri"/>
                <w:sz w:val="22"/>
              </w:rPr>
              <w:t>Q2 2026 (period ending June 30, 2026)</w:t>
            </w:r>
          </w:p>
        </w:tc>
      </w:tr>
      <w:tr>
        <w:tc>
          <w:tcPr>
            <w:tcW w:type="dxa" w:w="4320"/>
          </w:tcPr>
          <w:p>
            <w:r>
              <w:rPr>
                <w:rFonts w:ascii="Calibri" w:hAnsi="Calibri"/>
                <w:b/>
                <w:sz w:val="22"/>
              </w:rPr>
              <w:t>Earnings Date</w:t>
            </w:r>
          </w:p>
        </w:tc>
        <w:tc>
          <w:tcPr>
            <w:tcW w:type="dxa" w:w="4320"/>
          </w:tcPr>
          <w:p>
            <w:r>
              <w:rPr>
                <w:rFonts w:ascii="Calibri" w:hAnsi="Calibri"/>
                <w:sz w:val="22"/>
              </w:rPr>
              <w:t>July 16, 2026</w:t>
            </w:r>
          </w:p>
        </w:tc>
      </w:tr>
      <w:tr>
        <w:tc>
          <w:tcPr>
            <w:tcW w:type="dxa" w:w="4320"/>
          </w:tcPr>
          <w:p>
            <w:r>
              <w:rPr>
                <w:rFonts w:ascii="Calibri" w:hAnsi="Calibri"/>
                <w:b/>
                <w:sz w:val="22"/>
              </w:rPr>
              <w:t>Prepared</w:t>
            </w:r>
          </w:p>
        </w:tc>
        <w:tc>
          <w:tcPr>
            <w:tcW w:type="dxa" w:w="4320"/>
          </w:tcPr>
          <w:p>
            <w:r>
              <w:rPr>
                <w:rFonts w:ascii="Calibri" w:hAnsi="Calibri"/>
                <w:sz w:val="22"/>
              </w:rPr>
              <w:t>July 15, 2026</w:t>
            </w:r>
          </w:p>
        </w:tc>
      </w:tr>
      <w:tr>
        <w:tc>
          <w:tcPr>
            <w:tcW w:type="dxa" w:w="4320"/>
          </w:tcPr>
          <w:p>
            <w:r>
              <w:rPr>
                <w:rFonts w:ascii="Calibri" w:hAnsi="Calibri"/>
                <w:b/>
                <w:sz w:val="22"/>
              </w:rPr>
              <w:t>Primary Analyst Focus KPIs</w:t>
            </w:r>
          </w:p>
        </w:tc>
        <w:tc>
          <w:tcPr>
            <w:tcW w:type="dxa" w:w="4320"/>
          </w:tcPr>
          <w:p>
            <w:r>
              <w:rPr>
                <w:rFonts w:ascii="Calibri" w:hAnsi="Calibri"/>
                <w:sz w:val="22"/>
              </w:rPr>
              <w:t>Net Interest Income (NII) / Net Interest Margin (NIM); Operating EPS</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USB's Q2 2026 print looks constructive — management guided NII growth of 6–7% YoY and fee revenue of 6–7% YoY, and as of the June 10 investor update, NII was tracking toward the upper end of that range while fee revenue was tracking </w:t>
      </w:r>
      <w:r>
        <w:rPr>
          <w:rFonts w:ascii="Calibri" w:hAnsi="Calibri"/>
          <w:b/>
          <w:color w:val="525866"/>
          <w:sz w:val="22"/>
        </w:rPr>
        <w:t>above</w:t>
      </w:r>
      <w:r>
        <w:rPr>
          <w:rFonts w:ascii="Calibri" w:hAnsi="Calibri"/>
          <w:color w:val="525866"/>
          <w:sz w:val="22"/>
        </w:rPr>
        <w:t xml:space="preserve"> guidance, driven by capital markets strength. The bar is achievable, and the risk is skewed to the upside.</w:t>
      </w:r>
    </w:p>
    <w:p>
      <w:r>
        <w:rPr>
          <w:rFonts w:ascii="Calibri" w:hAnsi="Calibri"/>
          <w:b/>
          <w:color w:val="525866"/>
          <w:sz w:val="22"/>
        </w:rPr>
        <w:t xml:space="preserve">Bar: </w:t>
      </w:r>
      <w:r>
        <w:rPr>
          <w:rFonts w:ascii="Calibri" w:hAnsi="Calibri"/>
          <w:color w:val="525866"/>
          <w:sz w:val="22"/>
        </w:rPr>
        <w:t xml:space="preserve">Consensus NII of ~$4.34B implies ~7.2% YoY growth vs. Q2 2025's $4.051B, sitting at the upper end of the 6–7% guidance range — a bar that is firm but not stretched given the intra-quarter tracking commentary. Operating EPS consensus of $1.28 represents a meaningful step-up from Q1 2026's $1.18 actual and a ~12% YoY improvement, consistent with the positive operating leverage thesis. </w:t>
      </w:r>
      <w:r>
        <w:rPr>
          <w:rFonts w:ascii="Calibri" w:hAnsi="Calibri"/>
          <w:b/>
          <w:color w:val="525866"/>
          <w:sz w:val="22"/>
        </w:rPr>
        <w:t xml:space="preserve">Guidance/Tone: </w:t>
      </w:r>
      <w:r>
        <w:rPr>
          <w:rFonts w:ascii="Calibri" w:hAnsi="Calibri"/>
          <w:color w:val="525866"/>
          <w:sz w:val="22"/>
        </w:rPr>
        <w:t xml:space="preserve">Management's posture has shifted more confident since the Q1 call — the June 10 intra-quarter update explicitly flagged fee revenue tracking above the guided range, NII at the upper end, and expenses in line, while full-year guidance of mid-single-digit revenue growth and 200+ bps positive operating leverage was left unchanged. The BTIG acquisition (closed June 1) adds incremental capital markets capacity and will be layered into guidance for the first time at this print. </w:t>
      </w:r>
      <w:r>
        <w:rPr>
          <w:rFonts w:ascii="Calibri" w:hAnsi="Calibri"/>
          <w:b/>
          <w:color w:val="525866"/>
          <w:sz w:val="22"/>
        </w:rPr>
        <w:t xml:space="preserve">Estimate Trajectory: </w:t>
      </w:r>
      <w:r>
        <w:rPr>
          <w:rFonts w:ascii="Calibri" w:hAnsi="Calibri"/>
          <w:color w:val="525866"/>
          <w:sz w:val="22"/>
        </w:rPr>
        <w:t xml:space="preserve">Estimates have drifted modestly higher since Q1 earnings, consistent with the constructive intra-quarter update; the gap between consensus and guidance midpoints is narrow, suggesting limited cushion but also limited downside risk from estimate resets. </w:t>
      </w:r>
      <w:r>
        <w:rPr>
          <w:rFonts w:ascii="Calibri" w:hAnsi="Calibri"/>
          <w:b/>
          <w:color w:val="525866"/>
          <w:sz w:val="22"/>
        </w:rPr>
        <w:t xml:space="preserve">Stock Setup: </w:t>
      </w:r>
      <w:r>
        <w:rPr>
          <w:rFonts w:ascii="Calibri" w:hAnsi="Calibri"/>
          <w:color w:val="525866"/>
          <w:sz w:val="22"/>
        </w:rPr>
        <w:t xml:space="preserve">USB has rallied ~13.6% since Q1 earnings (vs. KRE +10.1%, SPY +7.6%), suggesting the market has partially priced in execution, but the stock's ~11x forward P/E on FY2026 consensus EPS of ~$5.14 remains undemanding relative to the improving ROTCE trajectory (consensus ~17.2% for Q2). </w:t>
      </w:r>
      <w:r>
        <w:rPr>
          <w:rFonts w:ascii="Calibri" w:hAnsi="Calibri"/>
          <w:b/>
          <w:color w:val="525866"/>
          <w:sz w:val="22"/>
        </w:rPr>
        <w:t xml:space="preserve">Wildcard: </w:t>
      </w:r>
      <w:r>
        <w:rPr>
          <w:rFonts w:ascii="Calibri" w:hAnsi="Calibri"/>
          <w:color w:val="525866"/>
          <w:sz w:val="22"/>
        </w:rPr>
        <w:t>The single biggest swing factor is the first formal incorporation of BTIG into guidance — if management raises the full-year revenue or EPS outlook to reflect BTIG's contribution and the Amazon small business card launch timeline (expected Q3 2026), the stock could re-rate further; conversely, any softness in NIM progression (flat at 2.77% for two consecutive quarters) or a credit quality surprise in the NCO ratio would be the key downside risk.</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reflects a high but achievable bar — NII at the upper end of guidance and fee revenue above guidance per the June 10 update. NIM progression (from 2.77% flat for two quarters) is the bigger swing factor; any sequential expansion would be a positive catalyst, while BTIG's first-time inclusion in guidance is the key upside optionality.</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 vs. Guidance Midpoint</w:t>
            </w:r>
          </w:p>
        </w:tc>
      </w:tr>
      <w:tr>
        <w:tc>
          <w:tcPr>
            <w:tcW w:type="dxa" w:w="1234"/>
          </w:tcPr>
          <w:p>
            <w:r>
              <w:rPr>
                <w:rFonts w:ascii="Calibri" w:hAnsi="Calibri"/>
                <w:sz w:val="22"/>
              </w:rPr>
              <w:t>Operating EPS ($)</w:t>
            </w:r>
          </w:p>
        </w:tc>
        <w:tc>
          <w:tcPr>
            <w:tcW w:type="dxa" w:w="1234"/>
          </w:tcPr>
          <w:p>
            <w:r>
              <w:rPr>
                <w:rFonts w:ascii="Calibri" w:hAnsi="Calibri"/>
                <w:sz w:val="22"/>
              </w:rPr>
              <w:t>$1.18</w:t>
            </w:r>
          </w:p>
        </w:tc>
        <w:tc>
          <w:tcPr>
            <w:tcW w:type="dxa" w:w="1234"/>
          </w:tcPr>
          <w:p>
            <w:r>
              <w:rPr>
                <w:rFonts w:ascii="Calibri" w:hAnsi="Calibri"/>
                <w:sz w:val="22"/>
              </w:rPr>
              <w:t>$1.14</w:t>
            </w:r>
          </w:p>
        </w:tc>
        <w:tc>
          <w:tcPr>
            <w:tcW w:type="dxa" w:w="1234"/>
          </w:tcPr>
          <w:p>
            <w:r>
              <w:rPr>
                <w:rFonts w:ascii="Calibri" w:hAnsi="Calibri"/>
                <w:sz w:val="22"/>
              </w:rPr>
              <w:t>$1.28</w:t>
            </w:r>
          </w:p>
        </w:tc>
        <w:tc>
          <w:tcPr>
            <w:tcW w:type="dxa" w:w="1234"/>
          </w:tcPr>
          <w:p>
            <w:r>
              <w:rPr>
                <w:rFonts w:ascii="Calibri" w:hAnsi="Calibri"/>
                <w:sz w:val="22"/>
              </w:rPr>
              <w:t>+12.3%</w:t>
            </w:r>
          </w:p>
        </w:tc>
        <w:tc>
          <w:tcPr>
            <w:tcW w:type="dxa" w:w="1234"/>
          </w:tcPr>
          <w:p>
            <w:r>
              <w:rPr>
                <w:rFonts w:ascii="Calibri" w:hAnsi="Calibri"/>
                <w:sz w:val="22"/>
              </w:rPr>
              <w:t>No explicit EPS guide</w:t>
            </w:r>
          </w:p>
        </w:tc>
        <w:tc>
          <w:tcPr>
            <w:tcW w:type="dxa" w:w="1234"/>
          </w:tcPr>
          <w:p>
            <w:r>
              <w:rPr>
                <w:rFonts w:ascii="Calibri" w:hAnsi="Calibri"/>
                <w:sz w:val="22"/>
              </w:rPr>
              <w:t>N/A</w:t>
            </w:r>
          </w:p>
        </w:tc>
      </w:tr>
      <w:tr>
        <w:tc>
          <w:tcPr>
            <w:tcW w:type="dxa" w:w="1234"/>
          </w:tcPr>
          <w:p>
            <w:r>
              <w:rPr>
                <w:rFonts w:ascii="Calibri" w:hAnsi="Calibri"/>
                <w:sz w:val="22"/>
              </w:rPr>
              <w:t>Net Interest Income ($B)</w:t>
            </w:r>
          </w:p>
        </w:tc>
        <w:tc>
          <w:tcPr>
            <w:tcW w:type="dxa" w:w="1234"/>
          </w:tcPr>
          <w:p>
            <w:r>
              <w:rPr>
                <w:rFonts w:ascii="Calibri" w:hAnsi="Calibri"/>
                <w:sz w:val="22"/>
              </w:rPr>
              <w:t>$4.263B</w:t>
            </w:r>
          </w:p>
        </w:tc>
        <w:tc>
          <w:tcPr>
            <w:tcW w:type="dxa" w:w="1234"/>
          </w:tcPr>
          <w:p>
            <w:r>
              <w:rPr>
                <w:rFonts w:ascii="Calibri" w:hAnsi="Calibri"/>
                <w:sz w:val="22"/>
              </w:rPr>
              <w:t>$4.051B</w:t>
            </w:r>
          </w:p>
        </w:tc>
        <w:tc>
          <w:tcPr>
            <w:tcW w:type="dxa" w:w="1234"/>
          </w:tcPr>
          <w:p>
            <w:r>
              <w:rPr>
                <w:rFonts w:ascii="Calibri" w:hAnsi="Calibri"/>
                <w:sz w:val="22"/>
              </w:rPr>
              <w:t>$4.342B</w:t>
            </w:r>
          </w:p>
        </w:tc>
        <w:tc>
          <w:tcPr>
            <w:tcW w:type="dxa" w:w="1234"/>
          </w:tcPr>
          <w:p>
            <w:r>
              <w:rPr>
                <w:rFonts w:ascii="Calibri" w:hAnsi="Calibri"/>
                <w:sz w:val="22"/>
              </w:rPr>
              <w:t>+7.2%</w:t>
            </w:r>
          </w:p>
        </w:tc>
        <w:tc>
          <w:tcPr>
            <w:tcW w:type="dxa" w:w="1234"/>
          </w:tcPr>
          <w:p>
            <w:r>
              <w:rPr>
                <w:rFonts w:ascii="Calibri" w:hAnsi="Calibri"/>
                <w:sz w:val="22"/>
              </w:rPr>
              <w:t>+6% to +7% YoY</w:t>
            </w:r>
          </w:p>
        </w:tc>
        <w:tc>
          <w:tcPr>
            <w:tcW w:type="dxa" w:w="1234"/>
          </w:tcPr>
          <w:p>
            <w:r>
              <w:rPr>
                <w:rFonts w:ascii="Calibri" w:hAnsi="Calibri"/>
                <w:sz w:val="22"/>
              </w:rPr>
              <w:t>+0.3% above midpoint (tracking upper end)</w:t>
            </w:r>
          </w:p>
        </w:tc>
      </w:tr>
      <w:tr>
        <w:tc>
          <w:tcPr>
            <w:tcW w:type="dxa" w:w="1234"/>
          </w:tcPr>
          <w:p>
            <w:r>
              <w:rPr>
                <w:rFonts w:ascii="Calibri" w:hAnsi="Calibri"/>
                <w:sz w:val="22"/>
              </w:rPr>
              <w:t>Total Fee Revenue / Noninterest Income - Operating ($B)</w:t>
            </w:r>
          </w:p>
        </w:tc>
        <w:tc>
          <w:tcPr>
            <w:tcW w:type="dxa" w:w="1234"/>
          </w:tcPr>
          <w:p>
            <w:r>
              <w:rPr>
                <w:rFonts w:ascii="Calibri" w:hAnsi="Calibri"/>
                <w:sz w:val="22"/>
              </w:rPr>
              <w:t>$3.032B</w:t>
            </w:r>
          </w:p>
        </w:tc>
        <w:tc>
          <w:tcPr>
            <w:tcW w:type="dxa" w:w="1234"/>
          </w:tcPr>
          <w:p>
            <w:r>
              <w:rPr>
                <w:rFonts w:ascii="Calibri" w:hAnsi="Calibri"/>
                <w:sz w:val="22"/>
              </w:rPr>
              <w:t>$2.981B</w:t>
            </w:r>
          </w:p>
        </w:tc>
        <w:tc>
          <w:tcPr>
            <w:tcW w:type="dxa" w:w="1234"/>
          </w:tcPr>
          <w:p>
            <w:r>
              <w:rPr>
                <w:rFonts w:ascii="Calibri" w:hAnsi="Calibri"/>
                <w:sz w:val="22"/>
              </w:rPr>
              <w:t>$3.231B</w:t>
            </w:r>
          </w:p>
        </w:tc>
        <w:tc>
          <w:tcPr>
            <w:tcW w:type="dxa" w:w="1234"/>
          </w:tcPr>
          <w:p>
            <w:r>
              <w:rPr>
                <w:rFonts w:ascii="Calibri" w:hAnsi="Calibri"/>
                <w:sz w:val="22"/>
              </w:rPr>
              <w:t>+8.4%</w:t>
            </w:r>
          </w:p>
        </w:tc>
        <w:tc>
          <w:tcPr>
            <w:tcW w:type="dxa" w:w="1234"/>
          </w:tcPr>
          <w:p>
            <w:r>
              <w:rPr>
                <w:rFonts w:ascii="Calibri" w:hAnsi="Calibri"/>
                <w:sz w:val="22"/>
              </w:rPr>
              <w:t>+6% to +7% YoY</w:t>
            </w:r>
          </w:p>
        </w:tc>
        <w:tc>
          <w:tcPr>
            <w:tcW w:type="dxa" w:w="1234"/>
          </w:tcPr>
          <w:p>
            <w:r>
              <w:rPr>
                <w:rFonts w:ascii="Calibri" w:hAnsi="Calibri"/>
                <w:sz w:val="22"/>
              </w:rPr>
              <w:t>+~2% above range (tracking above guidance)</w:t>
            </w:r>
          </w:p>
        </w:tc>
      </w:tr>
      <w:tr>
        <w:tc>
          <w:tcPr>
            <w:tcW w:type="dxa" w:w="1234"/>
          </w:tcPr>
          <w:p>
            <w:r>
              <w:rPr>
                <w:rFonts w:ascii="Calibri" w:hAnsi="Calibri"/>
                <w:sz w:val="22"/>
              </w:rPr>
              <w:t>Total Noninterest Expense - Operating ($B)</w:t>
            </w:r>
          </w:p>
        </w:tc>
        <w:tc>
          <w:tcPr>
            <w:tcW w:type="dxa" w:w="1234"/>
          </w:tcPr>
          <w:p>
            <w:r>
              <w:rPr>
                <w:rFonts w:ascii="Calibri" w:hAnsi="Calibri"/>
                <w:sz w:val="22"/>
              </w:rPr>
              <w:t>$4.265B</w:t>
            </w:r>
          </w:p>
        </w:tc>
        <w:tc>
          <w:tcPr>
            <w:tcW w:type="dxa" w:w="1234"/>
          </w:tcPr>
          <w:p>
            <w:r>
              <w:rPr>
                <w:rFonts w:ascii="Calibri" w:hAnsi="Calibri"/>
                <w:sz w:val="22"/>
              </w:rPr>
              <w:t>$4.181B</w:t>
            </w:r>
          </w:p>
        </w:tc>
        <w:tc>
          <w:tcPr>
            <w:tcW w:type="dxa" w:w="1234"/>
          </w:tcPr>
          <w:p>
            <w:r>
              <w:rPr>
                <w:rFonts w:ascii="Calibri" w:hAnsi="Calibri"/>
                <w:sz w:val="22"/>
              </w:rPr>
              <w:t>$4.360B</w:t>
            </w:r>
          </w:p>
        </w:tc>
        <w:tc>
          <w:tcPr>
            <w:tcW w:type="dxa" w:w="1234"/>
          </w:tcPr>
          <w:p>
            <w:r>
              <w:rPr>
                <w:rFonts w:ascii="Calibri" w:hAnsi="Calibri"/>
                <w:sz w:val="22"/>
              </w:rPr>
              <w:t>+4.3%</w:t>
            </w:r>
          </w:p>
        </w:tc>
        <w:tc>
          <w:tcPr>
            <w:tcW w:type="dxa" w:w="1234"/>
          </w:tcPr>
          <w:p>
            <w:r>
              <w:rPr>
                <w:rFonts w:ascii="Calibri" w:hAnsi="Calibri"/>
                <w:sz w:val="22"/>
              </w:rPr>
              <w:t>+3% to +4% YoY</w:t>
            </w:r>
          </w:p>
        </w:tc>
        <w:tc>
          <w:tcPr>
            <w:tcW w:type="dxa" w:w="1234"/>
          </w:tcPr>
          <w:p>
            <w:r>
              <w:rPr>
                <w:rFonts w:ascii="Calibri" w:hAnsi="Calibri"/>
                <w:sz w:val="22"/>
              </w:rPr>
              <w:t>+~0.3% above midpoint (in line)</w:t>
            </w:r>
          </w:p>
        </w:tc>
      </w:tr>
      <w:tr>
        <w:tc>
          <w:tcPr>
            <w:tcW w:type="dxa" w:w="1234"/>
          </w:tcPr>
          <w:p>
            <w:r>
              <w:rPr>
                <w:rFonts w:ascii="Calibri" w:hAnsi="Calibri"/>
                <w:sz w:val="22"/>
              </w:rPr>
              <w:t>Net Interest Margin (%)</w:t>
            </w:r>
          </w:p>
        </w:tc>
        <w:tc>
          <w:tcPr>
            <w:tcW w:type="dxa" w:w="1234"/>
          </w:tcPr>
          <w:p>
            <w:r>
              <w:rPr>
                <w:rFonts w:ascii="Calibri" w:hAnsi="Calibri"/>
                <w:sz w:val="22"/>
              </w:rPr>
              <w:t>2.77%</w:t>
            </w:r>
          </w:p>
        </w:tc>
        <w:tc>
          <w:tcPr>
            <w:tcW w:type="dxa" w:w="1234"/>
          </w:tcPr>
          <w:p>
            <w:r>
              <w:rPr>
                <w:rFonts w:ascii="Calibri" w:hAnsi="Calibri"/>
                <w:sz w:val="22"/>
              </w:rPr>
              <w:t>2.66%</w:t>
            </w:r>
          </w:p>
        </w:tc>
        <w:tc>
          <w:tcPr>
            <w:tcW w:type="dxa" w:w="1234"/>
          </w:tcPr>
          <w:p>
            <w:r>
              <w:rPr>
                <w:rFonts w:ascii="Calibri" w:hAnsi="Calibri"/>
                <w:sz w:val="22"/>
              </w:rPr>
              <w:t>2.79%</w:t>
            </w:r>
          </w:p>
        </w:tc>
        <w:tc>
          <w:tcPr>
            <w:tcW w:type="dxa" w:w="1234"/>
          </w:tcPr>
          <w:p>
            <w:r>
              <w:rPr>
                <w:rFonts w:ascii="Calibri" w:hAnsi="Calibri"/>
                <w:sz w:val="22"/>
              </w:rPr>
              <w:t>+13 bps YoY</w:t>
            </w:r>
          </w:p>
        </w:tc>
        <w:tc>
          <w:tcPr>
            <w:tcW w:type="dxa" w:w="1234"/>
          </w:tcPr>
          <w:p>
            <w:r>
              <w:rPr>
                <w:rFonts w:ascii="Calibri" w:hAnsi="Calibri"/>
                <w:sz w:val="22"/>
              </w:rPr>
              <w:t>Sequential expansion expected</w:t>
            </w:r>
          </w:p>
        </w:tc>
        <w:tc>
          <w:tcPr>
            <w:tcW w:type="dxa" w:w="1234"/>
          </w:tcPr>
          <w:p>
            <w:r>
              <w:rPr>
                <w:rFonts w:ascii="Calibri" w:hAnsi="Calibri"/>
                <w:sz w:val="22"/>
              </w:rPr>
              <w:t>+2 bps above Q1 actual</w:t>
            </w:r>
          </w:p>
        </w:tc>
      </w:tr>
      <w:tr>
        <w:tc>
          <w:tcPr>
            <w:tcW w:type="dxa" w:w="1234"/>
          </w:tcPr>
          <w:p>
            <w:r>
              <w:rPr>
                <w:rFonts w:ascii="Calibri" w:hAnsi="Calibri"/>
                <w:sz w:val="22"/>
              </w:rPr>
              <w:t>Total Loans ($B)</w:t>
            </w:r>
          </w:p>
        </w:tc>
        <w:tc>
          <w:tcPr>
            <w:tcW w:type="dxa" w:w="1234"/>
          </w:tcPr>
          <w:p>
            <w:r>
              <w:rPr>
                <w:rFonts w:ascii="Calibri" w:hAnsi="Calibri"/>
                <w:sz w:val="22"/>
              </w:rPr>
              <w:t>$399.8B</w:t>
            </w:r>
          </w:p>
        </w:tc>
        <w:tc>
          <w:tcPr>
            <w:tcW w:type="dxa" w:w="1234"/>
          </w:tcPr>
          <w:p>
            <w:r>
              <w:rPr>
                <w:rFonts w:ascii="Calibri" w:hAnsi="Calibri"/>
                <w:sz w:val="22"/>
              </w:rPr>
              <w:t>$380.2B</w:t>
            </w:r>
          </w:p>
        </w:tc>
        <w:tc>
          <w:tcPr>
            <w:tcW w:type="dxa" w:w="1234"/>
          </w:tcPr>
          <w:p>
            <w:r>
              <w:rPr>
                <w:rFonts w:ascii="Calibri" w:hAnsi="Calibri"/>
                <w:sz w:val="22"/>
              </w:rPr>
              <w:t>$403.4B</w:t>
            </w:r>
          </w:p>
        </w:tc>
        <w:tc>
          <w:tcPr>
            <w:tcW w:type="dxa" w:w="1234"/>
          </w:tcPr>
          <w:p>
            <w:r>
              <w:rPr>
                <w:rFonts w:ascii="Calibri" w:hAnsi="Calibri"/>
                <w:sz w:val="22"/>
              </w:rPr>
              <w:t>+6.1%</w:t>
            </w:r>
          </w:p>
        </w:tc>
        <w:tc>
          <w:tcPr>
            <w:tcW w:type="dxa" w:w="1234"/>
          </w:tcPr>
          <w:p>
            <w:r>
              <w:rPr>
                <w:rFonts w:ascii="Calibri" w:hAnsi="Calibri"/>
                <w:sz w:val="22"/>
              </w:rPr>
              <w:t>Mid-single-digit full-year growth</w:t>
            </w:r>
          </w:p>
        </w:tc>
        <w:tc>
          <w:tcPr>
            <w:tcW w:type="dxa" w:w="1234"/>
          </w:tcPr>
          <w:p>
            <w:r>
              <w:rPr>
                <w:rFonts w:ascii="Calibri" w:hAnsi="Calibri"/>
                <w:sz w:val="22"/>
              </w:rPr>
              <w:t>In line with guidance</w:t>
            </w:r>
          </w:p>
        </w:tc>
      </w:tr>
      <w:tr>
        <w:tc>
          <w:tcPr>
            <w:tcW w:type="dxa" w:w="1234"/>
          </w:tcPr>
          <w:p>
            <w:r>
              <w:rPr>
                <w:rFonts w:ascii="Calibri" w:hAnsi="Calibri"/>
                <w:sz w:val="22"/>
              </w:rPr>
              <w:t>Net Charge-Off Ratio (%)</w:t>
            </w:r>
          </w:p>
        </w:tc>
        <w:tc>
          <w:tcPr>
            <w:tcW w:type="dxa" w:w="1234"/>
          </w:tcPr>
          <w:p>
            <w:r>
              <w:rPr>
                <w:rFonts w:ascii="Calibri" w:hAnsi="Calibri"/>
                <w:sz w:val="22"/>
              </w:rPr>
              <w:t>0.563%</w:t>
            </w:r>
          </w:p>
        </w:tc>
        <w:tc>
          <w:tcPr>
            <w:tcW w:type="dxa" w:w="1234"/>
          </w:tcPr>
          <w:p>
            <w:r>
              <w:rPr>
                <w:rFonts w:ascii="Calibri" w:hAnsi="Calibri"/>
                <w:sz w:val="22"/>
              </w:rPr>
              <w:t>0.587%</w:t>
            </w:r>
          </w:p>
        </w:tc>
        <w:tc>
          <w:tcPr>
            <w:tcW w:type="dxa" w:w="1234"/>
          </w:tcPr>
          <w:p>
            <w:r>
              <w:rPr>
                <w:rFonts w:ascii="Calibri" w:hAnsi="Calibri"/>
                <w:sz w:val="22"/>
              </w:rPr>
              <w:t>0.567%</w:t>
            </w:r>
          </w:p>
        </w:tc>
        <w:tc>
          <w:tcPr>
            <w:tcW w:type="dxa" w:w="1234"/>
          </w:tcPr>
          <w:p>
            <w:r>
              <w:rPr>
                <w:rFonts w:ascii="Calibri" w:hAnsi="Calibri"/>
                <w:sz w:val="22"/>
              </w:rPr>
              <w:t>-20 bps YoY</w:t>
            </w:r>
          </w:p>
        </w:tc>
        <w:tc>
          <w:tcPr>
            <w:tcW w:type="dxa" w:w="1234"/>
          </w:tcPr>
          <w:p>
            <w:r>
              <w:rPr>
                <w:rFonts w:ascii="Calibri" w:hAnsi="Calibri"/>
                <w:sz w:val="22"/>
              </w:rPr>
              <w:t>Stable / modest improvement</w:t>
            </w:r>
          </w:p>
        </w:tc>
        <w:tc>
          <w:tcPr>
            <w:tcW w:type="dxa" w:w="1234"/>
          </w:tcPr>
          <w:p>
            <w:r>
              <w:rPr>
                <w:rFonts w:ascii="Calibri" w:hAnsi="Calibri"/>
                <w:sz w:val="22"/>
              </w:rPr>
              <w:t>In line</w:t>
            </w:r>
          </w:p>
        </w:tc>
      </w:tr>
      <w:tr>
        <w:tc>
          <w:tcPr>
            <w:tcW w:type="dxa" w:w="1234"/>
          </w:tcPr>
          <w:p>
            <w:r>
              <w:rPr>
                <w:rFonts w:ascii="Calibri" w:hAnsi="Calibri"/>
                <w:sz w:val="22"/>
              </w:rPr>
              <w:t>Return on Avg. Tangible Common Equity (%)</w:t>
            </w:r>
          </w:p>
        </w:tc>
        <w:tc>
          <w:tcPr>
            <w:tcW w:type="dxa" w:w="1234"/>
          </w:tcPr>
          <w:p>
            <w:r>
              <w:rPr>
                <w:rFonts w:ascii="Calibri" w:hAnsi="Calibri"/>
                <w:sz w:val="22"/>
              </w:rPr>
              <w:t>16.14%</w:t>
            </w:r>
          </w:p>
        </w:tc>
        <w:tc>
          <w:tcPr>
            <w:tcW w:type="dxa" w:w="1234"/>
          </w:tcPr>
          <w:p>
            <w:r>
              <w:rPr>
                <w:rFonts w:ascii="Calibri" w:hAnsi="Calibri"/>
                <w:sz w:val="22"/>
              </w:rPr>
              <w:t>16.98%</w:t>
            </w:r>
          </w:p>
        </w:tc>
        <w:tc>
          <w:tcPr>
            <w:tcW w:type="dxa" w:w="1234"/>
          </w:tcPr>
          <w:p>
            <w:r>
              <w:rPr>
                <w:rFonts w:ascii="Calibri" w:hAnsi="Calibri"/>
                <w:sz w:val="22"/>
              </w:rPr>
              <w:t>17.18%</w:t>
            </w:r>
          </w:p>
        </w:tc>
        <w:tc>
          <w:tcPr>
            <w:tcW w:type="dxa" w:w="1234"/>
          </w:tcPr>
          <w:p>
            <w:r>
              <w:rPr>
                <w:rFonts w:ascii="Calibri" w:hAnsi="Calibri"/>
                <w:sz w:val="22"/>
              </w:rPr>
              <w:t>+20 bps YoY</w:t>
            </w:r>
          </w:p>
        </w:tc>
        <w:tc>
          <w:tcPr>
            <w:tcW w:type="dxa" w:w="1234"/>
          </w:tcPr>
          <w:p>
            <w:r>
              <w:rPr>
                <w:rFonts w:ascii="Calibri" w:hAnsi="Calibri"/>
                <w:sz w:val="22"/>
              </w:rPr>
              <w:t>Improving trajectory</w:t>
            </w:r>
          </w:p>
        </w:tc>
        <w:tc>
          <w:tcPr>
            <w:tcW w:type="dxa" w:w="1234"/>
          </w:tcPr>
          <w:p>
            <w:r>
              <w:rPr>
                <w:rFonts w:ascii="Calibri" w:hAnsi="Calibri"/>
                <w:sz w:val="22"/>
              </w:rPr>
              <w:t>Consistent with NII/fee leverage</w:t>
            </w:r>
          </w:p>
        </w:tc>
      </w:tr>
    </w:tbl>
    <w:p>
      <w:r>
        <w:rPr>
          <w:rFonts w:ascii="Calibri" w:hAnsi="Calibri"/>
          <w:i/>
          <w:color w:val="525866"/>
          <w:sz w:val="22"/>
        </w:rPr>
        <w:t>Source: Visible Alpha consensus and actuals data. All Q2 2026 consensus figures are latest available as of July 15, 2026. Q2 2026 guidance from Q1 2026 earnings call (April 16, 2026); intra-quarter tracking from USB June 10, 2026 investor update.</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KPI 1: Operating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Q3 2024</w:t>
            </w:r>
          </w:p>
        </w:tc>
        <w:tc>
          <w:tcPr>
            <w:tcW w:type="dxa" w:w="1728"/>
          </w:tcPr>
          <w:p>
            <w:r>
              <w:rPr>
                <w:rFonts w:ascii="Calibri" w:hAnsi="Calibri"/>
                <w:sz w:val="22"/>
              </w:rPr>
              <w:t>$1.09</w:t>
            </w:r>
          </w:p>
        </w:tc>
        <w:tc>
          <w:tcPr>
            <w:tcW w:type="dxa" w:w="1728"/>
          </w:tcPr>
          <w:p>
            <w:r>
              <w:rPr>
                <w:rFonts w:ascii="Calibri" w:hAnsi="Calibri"/>
                <w:sz w:val="22"/>
              </w:rPr>
              <w:t>$0.98</w:t>
            </w:r>
          </w:p>
        </w:tc>
        <w:tc>
          <w:tcPr>
            <w:tcW w:type="dxa" w:w="1728"/>
          </w:tcPr>
          <w:p>
            <w:r>
              <w:rPr>
                <w:rFonts w:ascii="Calibri" w:hAnsi="Calibri"/>
                <w:b/>
                <w:color w:val="30A46C"/>
                <w:sz w:val="22"/>
              </w:rPr>
              <w:t>+11.2%</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$1.07</w:t>
            </w:r>
          </w:p>
        </w:tc>
        <w:tc>
          <w:tcPr>
            <w:tcW w:type="dxa" w:w="1728"/>
          </w:tcPr>
          <w:p>
            <w:r>
              <w:rPr>
                <w:rFonts w:ascii="Calibri" w:hAnsi="Calibri"/>
                <w:sz w:val="22"/>
              </w:rPr>
              <w:t>$1.05</w:t>
            </w:r>
          </w:p>
        </w:tc>
        <w:tc>
          <w:tcPr>
            <w:tcW w:type="dxa" w:w="1728"/>
          </w:tcPr>
          <w:p>
            <w:r>
              <w:rPr>
                <w:rFonts w:ascii="Calibri" w:hAnsi="Calibri"/>
                <w:b/>
                <w:color w:val="30A46C"/>
                <w:sz w:val="22"/>
              </w:rPr>
              <w:t>+1.9%</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$1.03</w:t>
            </w:r>
          </w:p>
        </w:tc>
        <w:tc>
          <w:tcPr>
            <w:tcW w:type="dxa" w:w="1728"/>
          </w:tcPr>
          <w:p>
            <w:r>
              <w:rPr>
                <w:rFonts w:ascii="Calibri" w:hAnsi="Calibri"/>
                <w:sz w:val="22"/>
              </w:rPr>
              <w:t>$0.98</w:t>
            </w:r>
          </w:p>
        </w:tc>
        <w:tc>
          <w:tcPr>
            <w:tcW w:type="dxa" w:w="1728"/>
          </w:tcPr>
          <w:p>
            <w:r>
              <w:rPr>
                <w:rFonts w:ascii="Calibri" w:hAnsi="Calibri"/>
                <w:b/>
                <w:color w:val="30A46C"/>
                <w:sz w:val="22"/>
              </w:rPr>
              <w:t>+5.1%</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$1.14</w:t>
            </w:r>
          </w:p>
        </w:tc>
        <w:tc>
          <w:tcPr>
            <w:tcW w:type="dxa" w:w="1728"/>
          </w:tcPr>
          <w:p>
            <w:r>
              <w:rPr>
                <w:rFonts w:ascii="Calibri" w:hAnsi="Calibri"/>
                <w:sz w:val="22"/>
              </w:rPr>
              <w:t>$1.06</w:t>
            </w:r>
          </w:p>
        </w:tc>
        <w:tc>
          <w:tcPr>
            <w:tcW w:type="dxa" w:w="1728"/>
          </w:tcPr>
          <w:p>
            <w:r>
              <w:rPr>
                <w:rFonts w:ascii="Calibri" w:hAnsi="Calibri"/>
                <w:b/>
                <w:color w:val="30A46C"/>
                <w:sz w:val="22"/>
              </w:rPr>
              <w:t>+7.5%</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$1.22</w:t>
            </w:r>
          </w:p>
        </w:tc>
        <w:tc>
          <w:tcPr>
            <w:tcW w:type="dxa" w:w="1728"/>
          </w:tcPr>
          <w:p>
            <w:r>
              <w:rPr>
                <w:rFonts w:ascii="Calibri" w:hAnsi="Calibri"/>
                <w:sz w:val="22"/>
              </w:rPr>
              <w:t>$1.12</w:t>
            </w:r>
          </w:p>
        </w:tc>
        <w:tc>
          <w:tcPr>
            <w:tcW w:type="dxa" w:w="1728"/>
          </w:tcPr>
          <w:p>
            <w:r>
              <w:rPr>
                <w:rFonts w:ascii="Calibri" w:hAnsi="Calibri"/>
                <w:b/>
                <w:color w:val="30A46C"/>
                <w:sz w:val="22"/>
              </w:rPr>
              <w:t>+8.6%</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$1.26</w:t>
            </w:r>
          </w:p>
        </w:tc>
        <w:tc>
          <w:tcPr>
            <w:tcW w:type="dxa" w:w="1728"/>
          </w:tcPr>
          <w:p>
            <w:r>
              <w:rPr>
                <w:rFonts w:ascii="Calibri" w:hAnsi="Calibri"/>
                <w:sz w:val="22"/>
              </w:rPr>
              <w:t>$1.19</w:t>
            </w:r>
          </w:p>
        </w:tc>
        <w:tc>
          <w:tcPr>
            <w:tcW w:type="dxa" w:w="1728"/>
          </w:tcPr>
          <w:p>
            <w:r>
              <w:rPr>
                <w:rFonts w:ascii="Calibri" w:hAnsi="Calibri"/>
                <w:b/>
                <w:color w:val="30A46C"/>
                <w:sz w:val="22"/>
              </w:rPr>
              <w:t>+5.9%</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$1.18</w:t>
            </w:r>
          </w:p>
        </w:tc>
        <w:tc>
          <w:tcPr>
            <w:tcW w:type="dxa" w:w="1728"/>
          </w:tcPr>
          <w:p>
            <w:r>
              <w:rPr>
                <w:rFonts w:ascii="Calibri" w:hAnsi="Calibri"/>
                <w:sz w:val="22"/>
              </w:rPr>
              <w:t>$1.14</w:t>
            </w:r>
          </w:p>
        </w:tc>
        <w:tc>
          <w:tcPr>
            <w:tcW w:type="dxa" w:w="1728"/>
          </w:tcPr>
          <w:p>
            <w:r>
              <w:rPr>
                <w:rFonts w:ascii="Calibri" w:hAnsi="Calibri"/>
                <w:b/>
                <w:color w:val="30A46C"/>
                <w:sz w:val="22"/>
              </w:rPr>
              <w:t>+3.5%</w:t>
            </w:r>
          </w:p>
        </w:tc>
        <w:tc>
          <w:tcPr>
            <w:tcW w:type="dxa" w:w="1728"/>
          </w:tcPr>
          <w:p>
            <w:r>
              <w:rPr>
                <w:rFonts w:ascii="Calibri" w:hAnsi="Calibri"/>
                <w:b/>
                <w:color w:val="30A46C"/>
                <w:sz w:val="22"/>
              </w:rPr>
              <w:t>Beat</w:t>
            </w:r>
          </w:p>
        </w:tc>
      </w:tr>
      <w:tr>
        <w:tc>
          <w:tcPr>
            <w:tcW w:type="dxa" w:w="1728"/>
          </w:tcPr>
          <w:p>
            <w:r>
              <w:rPr>
                <w:rFonts w:ascii="Calibri" w:hAnsi="Calibri"/>
                <w:sz w:val="22"/>
              </w:rPr>
              <w:t>Q2 2024 (for reference)</w:t>
            </w:r>
          </w:p>
        </w:tc>
        <w:tc>
          <w:tcPr>
            <w:tcW w:type="dxa" w:w="1728"/>
          </w:tcPr>
          <w:p>
            <w:r>
              <w:rPr>
                <w:rFonts w:ascii="Calibri" w:hAnsi="Calibri"/>
                <w:sz w:val="22"/>
              </w:rPr>
              <w:t>$0.98</w:t>
            </w:r>
          </w:p>
        </w:tc>
        <w:tc>
          <w:tcPr>
            <w:tcW w:type="dxa" w:w="1728"/>
          </w:tcPr>
          <w:p>
            <w:r>
              <w:rPr>
                <w:rFonts w:ascii="Calibri" w:hAnsi="Calibri"/>
                <w:sz w:val="22"/>
              </w:rPr>
              <w:t>$0.93</w:t>
            </w:r>
          </w:p>
        </w:tc>
        <w:tc>
          <w:tcPr>
            <w:tcW w:type="dxa" w:w="1728"/>
          </w:tcPr>
          <w:p>
            <w:r>
              <w:rPr>
                <w:rFonts w:ascii="Calibri" w:hAnsi="Calibri"/>
                <w:b/>
                <w:color w:val="30A46C"/>
                <w:sz w:val="22"/>
              </w:rPr>
              <w:t>+5.4%</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i/>
          <w:color w:val="525866"/>
          <w:sz w:val="22"/>
        </w:rPr>
        <w:t>USB has beaten Operating EPS consensus in each of the last 7 reported quarters, with surprise magnitudes ranging from +1.9% to +11.2% — a remarkably consistent track record that sets a high bar for Q2 2026 but also validates management's conservative guidance posture.</w:t>
      </w:r>
    </w:p>
    <w:p>
      <w:pPr>
        <w:pStyle w:val="Heading4"/>
      </w:pPr>
      <w:r>
        <w:rPr>
          <w:rFonts w:ascii="Calibri" w:hAnsi="Calibri"/>
          <w:b/>
          <w:color w:val="3B4259"/>
          <w:sz w:val="22"/>
        </w:rPr>
        <w:t>KPI 2: Net Interest Income (NII)</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Q3 2024</w:t>
            </w:r>
          </w:p>
        </w:tc>
        <w:tc>
          <w:tcPr>
            <w:tcW w:type="dxa" w:w="1728"/>
          </w:tcPr>
          <w:p>
            <w:r>
              <w:rPr>
                <w:rFonts w:ascii="Calibri" w:hAnsi="Calibri"/>
                <w:sz w:val="22"/>
              </w:rPr>
              <w:t>$4.135B</w:t>
            </w:r>
          </w:p>
        </w:tc>
        <w:tc>
          <w:tcPr>
            <w:tcW w:type="dxa" w:w="1728"/>
          </w:tcPr>
          <w:p>
            <w:r>
              <w:rPr>
                <w:rFonts w:ascii="Calibri" w:hAnsi="Calibri"/>
                <w:sz w:val="22"/>
              </w:rPr>
              <w:t>$4.039B</w:t>
            </w:r>
          </w:p>
        </w:tc>
        <w:tc>
          <w:tcPr>
            <w:tcW w:type="dxa" w:w="1728"/>
          </w:tcPr>
          <w:p>
            <w:r>
              <w:rPr>
                <w:rFonts w:ascii="Calibri" w:hAnsi="Calibri"/>
                <w:b/>
                <w:color w:val="30A46C"/>
                <w:sz w:val="22"/>
              </w:rPr>
              <w:t>+2.4%</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$4.146B</w:t>
            </w:r>
          </w:p>
        </w:tc>
        <w:tc>
          <w:tcPr>
            <w:tcW w:type="dxa" w:w="1728"/>
          </w:tcPr>
          <w:p>
            <w:r>
              <w:rPr>
                <w:rFonts w:ascii="Calibri" w:hAnsi="Calibri"/>
                <w:sz w:val="22"/>
              </w:rPr>
              <w:t>$4.135B</w:t>
            </w:r>
          </w:p>
        </w:tc>
        <w:tc>
          <w:tcPr>
            <w:tcW w:type="dxa" w:w="1728"/>
          </w:tcPr>
          <w:p>
            <w:r>
              <w:rPr>
                <w:rFonts w:ascii="Calibri" w:hAnsi="Calibri"/>
                <w:b/>
                <w:color w:val="30A46C"/>
                <w:sz w:val="22"/>
              </w:rPr>
              <w:t>+0.3%</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$4.092B</w:t>
            </w:r>
          </w:p>
        </w:tc>
        <w:tc>
          <w:tcPr>
            <w:tcW w:type="dxa" w:w="1728"/>
          </w:tcPr>
          <w:p>
            <w:r>
              <w:rPr>
                <w:rFonts w:ascii="Calibri" w:hAnsi="Calibri"/>
                <w:sz w:val="22"/>
              </w:rPr>
              <w:t>$4.098B</w:t>
            </w:r>
          </w:p>
        </w:tc>
        <w:tc>
          <w:tcPr>
            <w:tcW w:type="dxa" w:w="1728"/>
          </w:tcPr>
          <w:p>
            <w:r>
              <w:rPr>
                <w:rFonts w:ascii="Calibri" w:hAnsi="Calibri"/>
                <w:b/>
                <w:color w:val="E5484D"/>
                <w:sz w:val="22"/>
              </w:rPr>
              <w:t>-0.1%</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$4.051B</w:t>
            </w:r>
          </w:p>
        </w:tc>
        <w:tc>
          <w:tcPr>
            <w:tcW w:type="dxa" w:w="1728"/>
          </w:tcPr>
          <w:p>
            <w:r>
              <w:rPr>
                <w:rFonts w:ascii="Calibri" w:hAnsi="Calibri"/>
                <w:sz w:val="22"/>
              </w:rPr>
              <w:t>$4.096B</w:t>
            </w:r>
          </w:p>
        </w:tc>
        <w:tc>
          <w:tcPr>
            <w:tcW w:type="dxa" w:w="1728"/>
          </w:tcPr>
          <w:p>
            <w:r>
              <w:rPr>
                <w:rFonts w:ascii="Calibri" w:hAnsi="Calibri"/>
                <w:b/>
                <w:color w:val="E5484D"/>
                <w:sz w:val="22"/>
              </w:rPr>
              <w:t>-1.1%</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$4.222B</w:t>
            </w:r>
          </w:p>
        </w:tc>
        <w:tc>
          <w:tcPr>
            <w:tcW w:type="dxa" w:w="1728"/>
          </w:tcPr>
          <w:p>
            <w:r>
              <w:rPr>
                <w:rFonts w:ascii="Calibri" w:hAnsi="Calibri"/>
                <w:sz w:val="22"/>
              </w:rPr>
              <w:t>$4.152B</w:t>
            </w:r>
          </w:p>
        </w:tc>
        <w:tc>
          <w:tcPr>
            <w:tcW w:type="dxa" w:w="1728"/>
          </w:tcPr>
          <w:p>
            <w:r>
              <w:rPr>
                <w:rFonts w:ascii="Calibri" w:hAnsi="Calibri"/>
                <w:b/>
                <w:color w:val="30A46C"/>
                <w:sz w:val="22"/>
              </w:rPr>
              <w:t>+1.7%</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$4.284B</w:t>
            </w:r>
          </w:p>
        </w:tc>
        <w:tc>
          <w:tcPr>
            <w:tcW w:type="dxa" w:w="1728"/>
          </w:tcPr>
          <w:p>
            <w:r>
              <w:rPr>
                <w:rFonts w:ascii="Calibri" w:hAnsi="Calibri"/>
                <w:sz w:val="22"/>
              </w:rPr>
              <w:t>$4.264B</w:t>
            </w:r>
          </w:p>
        </w:tc>
        <w:tc>
          <w:tcPr>
            <w:tcW w:type="dxa" w:w="1728"/>
          </w:tcPr>
          <w:p>
            <w:r>
              <w:rPr>
                <w:rFonts w:ascii="Calibri" w:hAnsi="Calibri"/>
                <w:b/>
                <w:color w:val="30A46C"/>
                <w:sz w:val="22"/>
              </w:rPr>
              <w:t>+0.5%</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$4.263B</w:t>
            </w:r>
          </w:p>
        </w:tc>
        <w:tc>
          <w:tcPr>
            <w:tcW w:type="dxa" w:w="1728"/>
          </w:tcPr>
          <w:p>
            <w:r>
              <w:rPr>
                <w:rFonts w:ascii="Calibri" w:hAnsi="Calibri"/>
                <w:sz w:val="22"/>
              </w:rPr>
              <w:t>$4.257B</w:t>
            </w:r>
          </w:p>
        </w:tc>
        <w:tc>
          <w:tcPr>
            <w:tcW w:type="dxa" w:w="1728"/>
          </w:tcPr>
          <w:p>
            <w:r>
              <w:rPr>
                <w:rFonts w:ascii="Calibri" w:hAnsi="Calibri"/>
                <w:b/>
                <w:color w:val="30A46C"/>
                <w:sz w:val="22"/>
              </w:rPr>
              <w:t>+0.1%</w:t>
            </w:r>
          </w:p>
        </w:tc>
        <w:tc>
          <w:tcPr>
            <w:tcW w:type="dxa" w:w="1728"/>
          </w:tcPr>
          <w:p>
            <w:r>
              <w:rPr>
                <w:rFonts w:ascii="Calibri" w:hAnsi="Calibri"/>
                <w:b/>
                <w:color w:val="30A46C"/>
                <w:sz w:val="22"/>
              </w:rPr>
              <w:t>Beat</w:t>
            </w:r>
          </w:p>
        </w:tc>
      </w:tr>
      <w:tr>
        <w:tc>
          <w:tcPr>
            <w:tcW w:type="dxa" w:w="1728"/>
          </w:tcPr>
          <w:p>
            <w:r>
              <w:rPr>
                <w:rFonts w:ascii="Calibri" w:hAnsi="Calibri"/>
                <w:sz w:val="22"/>
              </w:rPr>
              <w:t>Q2 2024 (for reference)</w:t>
            </w:r>
          </w:p>
        </w:tc>
        <w:tc>
          <w:tcPr>
            <w:tcW w:type="dxa" w:w="1728"/>
          </w:tcPr>
          <w:p>
            <w:r>
              <w:rPr>
                <w:rFonts w:ascii="Calibri" w:hAnsi="Calibri"/>
                <w:sz w:val="22"/>
              </w:rPr>
              <w:t>$4.023B</w:t>
            </w:r>
          </w:p>
        </w:tc>
        <w:tc>
          <w:tcPr>
            <w:tcW w:type="dxa" w:w="1728"/>
          </w:tcPr>
          <w:p>
            <w:r>
              <w:rPr>
                <w:rFonts w:ascii="Calibri" w:hAnsi="Calibri"/>
                <w:sz w:val="22"/>
              </w:rPr>
              <w:t>$3.961B</w:t>
            </w:r>
          </w:p>
        </w:tc>
        <w:tc>
          <w:tcPr>
            <w:tcW w:type="dxa" w:w="1728"/>
          </w:tcPr>
          <w:p>
            <w:r>
              <w:rPr>
                <w:rFonts w:ascii="Calibri" w:hAnsi="Calibri"/>
                <w:b/>
                <w:color w:val="30A46C"/>
                <w:sz w:val="22"/>
              </w:rPr>
              <w:t>+1.6%</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i/>
          <w:color w:val="525866"/>
          <w:sz w:val="22"/>
        </w:rPr>
        <w:t>NII beat/miss history is more mixed than EPS — USB missed in Q1 and Q2 2025 as elevated mortgage prepayments and deposit mix headwinds weighed, but has beaten in the last three quarters as the fixed-rate asset repricing tailwind accelerated. The June 10 intra-quarter update (NII tracking toward the upper end of the 6–7% guidance range) is a positive signal heading into the print.</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Management's tone has grown more confident since Q1 earnings — the June 10 intra-quarter update showed fee revenue tracking above the guided range and NII at the upper end, while full-year guidance was left unchanged. The first formal incorporation of BTIG into guidance at this print is the key new variable.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Metric</w:t>
            </w:r>
          </w:p>
        </w:tc>
        <w:tc>
          <w:tcPr>
            <w:tcW w:type="dxa" w:w="2160"/>
            <w:shd w:val="clear" w:color="auto" w:fill="3B4259"/>
          </w:tcPr>
          <w:p>
            <w:r>
              <w:rPr>
                <w:rFonts w:ascii="Calibri" w:hAnsi="Calibri"/>
                <w:b/>
                <w:color w:val="FFFFFF"/>
                <w:sz w:val="22"/>
              </w:rPr>
              <w:t>Q1 2026 Earnings Guidance (April 16)</w:t>
            </w:r>
          </w:p>
        </w:tc>
        <w:tc>
          <w:tcPr>
            <w:tcW w:type="dxa" w:w="2160"/>
            <w:shd w:val="clear" w:color="auto" w:fill="3B4259"/>
          </w:tcPr>
          <w:p>
            <w:r>
              <w:rPr>
                <w:rFonts w:ascii="Calibri" w:hAnsi="Calibri"/>
                <w:b/>
                <w:color w:val="FFFFFF"/>
                <w:sz w:val="22"/>
              </w:rPr>
              <w:t>June 10 Intra-Quarter Update</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Q2 2026 NII Growth (YoY)</w:t>
            </w:r>
          </w:p>
        </w:tc>
        <w:tc>
          <w:tcPr>
            <w:tcW w:type="dxa" w:w="2160"/>
          </w:tcPr>
          <w:p>
            <w:r>
              <w:rPr>
                <w:rFonts w:ascii="Calibri" w:hAnsi="Calibri"/>
                <w:sz w:val="22"/>
              </w:rPr>
              <w:t>+6% to +7%</w:t>
            </w:r>
          </w:p>
        </w:tc>
        <w:tc>
          <w:tcPr>
            <w:tcW w:type="dxa" w:w="2160"/>
          </w:tcPr>
          <w:p>
            <w:r>
              <w:rPr>
                <w:rFonts w:ascii="Calibri" w:hAnsi="Calibri"/>
                <w:sz w:val="22"/>
              </w:rPr>
              <w:t>Tracking toward upper end of range</w:t>
            </w:r>
          </w:p>
        </w:tc>
        <w:tc>
          <w:tcPr>
            <w:tcW w:type="dxa" w:w="2160"/>
          </w:tcPr>
          <w:p>
            <w:r>
              <w:rPr>
                <w:rFonts w:ascii="Calibri" w:hAnsi="Calibri"/>
                <w:b/>
                <w:color w:val="30A46C"/>
                <w:sz w:val="22"/>
              </w:rPr>
              <w:t>↑ Positive</w:t>
            </w:r>
          </w:p>
        </w:tc>
      </w:tr>
      <w:tr>
        <w:tc>
          <w:tcPr>
            <w:tcW w:type="dxa" w:w="2160"/>
          </w:tcPr>
          <w:p>
            <w:r>
              <w:rPr>
                <w:rFonts w:ascii="Calibri" w:hAnsi="Calibri"/>
                <w:sz w:val="22"/>
              </w:rPr>
              <w:t>Q2 2026 Fee Revenue Growth (YoY)</w:t>
            </w:r>
          </w:p>
        </w:tc>
        <w:tc>
          <w:tcPr>
            <w:tcW w:type="dxa" w:w="2160"/>
          </w:tcPr>
          <w:p>
            <w:r>
              <w:rPr>
                <w:rFonts w:ascii="Calibri" w:hAnsi="Calibri"/>
                <w:sz w:val="22"/>
              </w:rPr>
              <w:t>+6% to +7%</w:t>
            </w:r>
          </w:p>
        </w:tc>
        <w:tc>
          <w:tcPr>
            <w:tcW w:type="dxa" w:w="2160"/>
          </w:tcPr>
          <w:p>
            <w:r>
              <w:rPr>
                <w:rFonts w:ascii="Calibri" w:hAnsi="Calibri"/>
                <w:sz w:val="22"/>
              </w:rPr>
              <w:t>Tracking above range (capital markets strength)</w:t>
            </w:r>
          </w:p>
        </w:tc>
        <w:tc>
          <w:tcPr>
            <w:tcW w:type="dxa" w:w="2160"/>
          </w:tcPr>
          <w:p>
            <w:r>
              <w:rPr>
                <w:rFonts w:ascii="Calibri" w:hAnsi="Calibri"/>
                <w:b/>
                <w:color w:val="30A46C"/>
                <w:sz w:val="22"/>
              </w:rPr>
              <w:t>↑↑ Positive</w:t>
            </w:r>
          </w:p>
        </w:tc>
      </w:tr>
      <w:tr>
        <w:tc>
          <w:tcPr>
            <w:tcW w:type="dxa" w:w="2160"/>
          </w:tcPr>
          <w:p>
            <w:r>
              <w:rPr>
                <w:rFonts w:ascii="Calibri" w:hAnsi="Calibri"/>
                <w:sz w:val="22"/>
              </w:rPr>
              <w:t>Q2 2026 Expense Growth (YoY)</w:t>
            </w:r>
          </w:p>
        </w:tc>
        <w:tc>
          <w:tcPr>
            <w:tcW w:type="dxa" w:w="2160"/>
          </w:tcPr>
          <w:p>
            <w:r>
              <w:rPr>
                <w:rFonts w:ascii="Calibri" w:hAnsi="Calibri"/>
                <w:sz w:val="22"/>
              </w:rPr>
              <w:t>+3% to +4%</w:t>
            </w:r>
          </w:p>
        </w:tc>
        <w:tc>
          <w:tcPr>
            <w:tcW w:type="dxa" w:w="2160"/>
          </w:tcPr>
          <w:p>
            <w:r>
              <w:rPr>
                <w:rFonts w:ascii="Calibri" w:hAnsi="Calibri"/>
                <w:sz w:val="22"/>
              </w:rPr>
              <w:t>Tracking in line with guidance</w:t>
            </w:r>
          </w:p>
        </w:tc>
        <w:tc>
          <w:tcPr>
            <w:tcW w:type="dxa" w:w="2160"/>
          </w:tcPr>
          <w:p>
            <w:r>
              <w:rPr>
                <w:rFonts w:ascii="Calibri" w:hAnsi="Calibri"/>
                <w:sz w:val="22"/>
              </w:rPr>
              <w:t>→ Unchanged</w:t>
            </w:r>
          </w:p>
        </w:tc>
      </w:tr>
      <w:tr>
        <w:tc>
          <w:tcPr>
            <w:tcW w:type="dxa" w:w="2160"/>
          </w:tcPr>
          <w:p>
            <w:r>
              <w:rPr>
                <w:rFonts w:ascii="Calibri" w:hAnsi="Calibri"/>
                <w:sz w:val="22"/>
              </w:rPr>
              <w:t>Full-Year 2026 Revenue Growth</w:t>
            </w:r>
          </w:p>
        </w:tc>
        <w:tc>
          <w:tcPr>
            <w:tcW w:type="dxa" w:w="2160"/>
          </w:tcPr>
          <w:p>
            <w:r>
              <w:rPr>
                <w:rFonts w:ascii="Calibri" w:hAnsi="Calibri"/>
                <w:sz w:val="22"/>
              </w:rPr>
              <w:t>+4% to +6% YoY (mid-single-digit)</w:t>
            </w:r>
          </w:p>
        </w:tc>
        <w:tc>
          <w:tcPr>
            <w:tcW w:type="dxa" w:w="2160"/>
          </w:tcPr>
          <w:p>
            <w:r>
              <w:rPr>
                <w:rFonts w:ascii="Calibri" w:hAnsi="Calibri"/>
                <w:sz w:val="22"/>
              </w:rPr>
              <w:t>Unchanged (BTIG to be layered in at Q2 earnings)</w:t>
            </w:r>
          </w:p>
        </w:tc>
        <w:tc>
          <w:tcPr>
            <w:tcW w:type="dxa" w:w="2160"/>
          </w:tcPr>
          <w:p>
            <w:r>
              <w:rPr>
                <w:rFonts w:ascii="Calibri" w:hAnsi="Calibri"/>
                <w:b/>
                <w:color w:val="002FA7"/>
                <w:sz w:val="22"/>
              </w:rPr>
              <w:t>→ Unchanged (upside optionality from BTIG)</w:t>
            </w:r>
          </w:p>
        </w:tc>
      </w:tr>
      <w:tr>
        <w:tc>
          <w:tcPr>
            <w:tcW w:type="dxa" w:w="2160"/>
          </w:tcPr>
          <w:p>
            <w:r>
              <w:rPr>
                <w:rFonts w:ascii="Calibri" w:hAnsi="Calibri"/>
                <w:sz w:val="22"/>
              </w:rPr>
              <w:t>Full-Year 2026 Positive Operating Leverage</w:t>
            </w:r>
          </w:p>
        </w:tc>
        <w:tc>
          <w:tcPr>
            <w:tcW w:type="dxa" w:w="2160"/>
          </w:tcPr>
          <w:p>
            <w:r>
              <w:rPr>
                <w:rFonts w:ascii="Calibri" w:hAnsi="Calibri"/>
                <w:sz w:val="22"/>
              </w:rPr>
              <w:t>200 bps or more</w:t>
            </w:r>
          </w:p>
        </w:tc>
        <w:tc>
          <w:tcPr>
            <w:tcW w:type="dxa" w:w="2160"/>
          </w:tcPr>
          <w:p>
            <w:r>
              <w:rPr>
                <w:rFonts w:ascii="Calibri" w:hAnsi="Calibri"/>
                <w:sz w:val="22"/>
              </w:rPr>
              <w:t>Unchanged</w:t>
            </w:r>
          </w:p>
        </w:tc>
        <w:tc>
          <w:tcPr>
            <w:tcW w:type="dxa" w:w="2160"/>
          </w:tcPr>
          <w:p>
            <w:r>
              <w:rPr>
                <w:rFonts w:ascii="Calibri" w:hAnsi="Calibri"/>
                <w:sz w:val="22"/>
              </w:rPr>
              <w:t>→ Unchanged</w:t>
            </w:r>
          </w:p>
        </w:tc>
      </w:tr>
      <w:tr>
        <w:tc>
          <w:tcPr>
            <w:tcW w:type="dxa" w:w="2160"/>
          </w:tcPr>
          <w:p>
            <w:r>
              <w:rPr>
                <w:rFonts w:ascii="Calibri" w:hAnsi="Calibri"/>
                <w:sz w:val="22"/>
              </w:rPr>
              <w:t>Full-Year 2026 Loan Growth</w:t>
            </w:r>
          </w:p>
        </w:tc>
        <w:tc>
          <w:tcPr>
            <w:tcW w:type="dxa" w:w="2160"/>
          </w:tcPr>
          <w:p>
            <w:r>
              <w:rPr>
                <w:rFonts w:ascii="Calibri" w:hAnsi="Calibri"/>
                <w:sz w:val="22"/>
              </w:rPr>
              <w:t>Mid-single-digit (revised up from 3–4%)</w:t>
            </w:r>
          </w:p>
        </w:tc>
        <w:tc>
          <w:tcPr>
            <w:tcW w:type="dxa" w:w="2160"/>
          </w:tcPr>
          <w:p>
            <w:r>
              <w:rPr>
                <w:rFonts w:ascii="Calibri" w:hAnsi="Calibri"/>
                <w:sz w:val="22"/>
              </w:rPr>
              <w:t>Unchanged</w:t>
            </w:r>
          </w:p>
        </w:tc>
        <w:tc>
          <w:tcPr>
            <w:tcW w:type="dxa" w:w="2160"/>
          </w:tcPr>
          <w:p>
            <w:r>
              <w:rPr>
                <w:rFonts w:ascii="Calibri" w:hAnsi="Calibri"/>
                <w:sz w:val="22"/>
              </w:rPr>
              <w:t>→ Unchanged</w:t>
            </w:r>
          </w:p>
        </w:tc>
      </w:tr>
      <w:tr>
        <w:tc>
          <w:tcPr>
            <w:tcW w:type="dxa" w:w="2160"/>
          </w:tcPr>
          <w:p>
            <w:r>
              <w:rPr>
                <w:rFonts w:ascii="Calibri" w:hAnsi="Calibri"/>
                <w:sz w:val="22"/>
              </w:rPr>
              <w:t>NIM Trajectory</w:t>
            </w:r>
          </w:p>
        </w:tc>
        <w:tc>
          <w:tcPr>
            <w:tcW w:type="dxa" w:w="2160"/>
          </w:tcPr>
          <w:p>
            <w:r>
              <w:rPr>
                <w:rFonts w:ascii="Calibri" w:hAnsi="Calibri"/>
                <w:sz w:val="22"/>
              </w:rPr>
              <w:t>Sequential expansion expected; path to 3% by 2027</w:t>
            </w:r>
          </w:p>
        </w:tc>
        <w:tc>
          <w:tcPr>
            <w:tcW w:type="dxa" w:w="2160"/>
          </w:tcPr>
          <w:p>
            <w:r>
              <w:rPr>
                <w:rFonts w:ascii="Calibri" w:hAnsi="Calibri"/>
                <w:sz w:val="22"/>
              </w:rPr>
              <w:t>No update; consensus at 2.79% for Q2 (vs. 2.77% in Q1)</w:t>
            </w:r>
          </w:p>
        </w:tc>
        <w:tc>
          <w:tcPr>
            <w:tcW w:type="dxa" w:w="2160"/>
          </w:tcPr>
          <w:p>
            <w:r>
              <w:rPr>
                <w:rFonts w:ascii="Calibri" w:hAnsi="Calibri"/>
                <w:sz w:val="22"/>
              </w:rPr>
              <w:t>→ Modest expansion expected</w:t>
            </w:r>
          </w:p>
        </w:tc>
      </w:tr>
      <w:tr>
        <w:tc>
          <w:tcPr>
            <w:tcW w:type="dxa" w:w="2160"/>
          </w:tcPr>
          <w:p>
            <w:r>
              <w:rPr>
                <w:rFonts w:ascii="Calibri" w:hAnsi="Calibri"/>
                <w:sz w:val="22"/>
              </w:rPr>
              <w:t>BTIG Acquisition Impact</w:t>
            </w:r>
          </w:p>
        </w:tc>
        <w:tc>
          <w:tcPr>
            <w:tcW w:type="dxa" w:w="2160"/>
          </w:tcPr>
          <w:p>
            <w:r>
              <w:rPr>
                <w:rFonts w:ascii="Calibri" w:hAnsi="Calibri"/>
                <w:sz w:val="22"/>
              </w:rPr>
              <w:t>Closed June 1, 2026; impact to be incorporated at Q2 earnings</w:t>
            </w:r>
          </w:p>
        </w:tc>
        <w:tc>
          <w:tcPr>
            <w:tcW w:type="dxa" w:w="2160"/>
          </w:tcPr>
          <w:p>
            <w:r>
              <w:rPr>
                <w:rFonts w:ascii="Calibri" w:hAnsi="Calibri"/>
                <w:sz w:val="22"/>
              </w:rPr>
              <w:t>First formal guidance update expected at Q2 print</w:t>
            </w:r>
          </w:p>
        </w:tc>
        <w:tc>
          <w:tcPr>
            <w:tcW w:type="dxa" w:w="2160"/>
          </w:tcPr>
          <w:p>
            <w:r>
              <w:rPr>
                <w:rFonts w:ascii="Calibri" w:hAnsi="Calibri"/>
                <w:b/>
                <w:color w:val="002FA7"/>
                <w:sz w:val="22"/>
              </w:rPr>
              <w:t>↑ New variable</w:t>
            </w:r>
          </w:p>
        </w:tc>
      </w:tr>
      <w:tr>
        <w:tc>
          <w:tcPr>
            <w:tcW w:type="dxa" w:w="2160"/>
          </w:tcPr>
          <w:p>
            <w:r>
              <w:rPr>
                <w:rFonts w:ascii="Calibri" w:hAnsi="Calibri"/>
                <w:sz w:val="22"/>
              </w:rPr>
              <w:t>Capital Return / Dividend</w:t>
            </w:r>
          </w:p>
        </w:tc>
        <w:tc>
          <w:tcPr>
            <w:tcW w:type="dxa" w:w="2160"/>
          </w:tcPr>
          <w:p>
            <w:r>
              <w:rPr>
                <w:rFonts w:ascii="Calibri" w:hAnsi="Calibri"/>
                <w:sz w:val="22"/>
              </w:rPr>
              <w:t>$4.1B remaining under $5B buyback; dividend $0.52/share</w:t>
            </w:r>
          </w:p>
        </w:tc>
        <w:tc>
          <w:tcPr>
            <w:tcW w:type="dxa" w:w="2160"/>
          </w:tcPr>
          <w:p>
            <w:r>
              <w:rPr>
                <w:rFonts w:ascii="Calibri" w:hAnsi="Calibri"/>
                <w:sz w:val="22"/>
              </w:rPr>
              <w:t>Dividend raised to $0.54/share (+3.8%) effective Q3 2026 (DFAST June 24)</w:t>
            </w:r>
          </w:p>
        </w:tc>
        <w:tc>
          <w:tcPr>
            <w:tcW w:type="dxa" w:w="2160"/>
          </w:tcPr>
          <w:p>
            <w:r>
              <w:rPr>
                <w:rFonts w:ascii="Calibri" w:hAnsi="Calibri"/>
                <w:b/>
                <w:color w:val="30A46C"/>
                <w:sz w:val="22"/>
              </w:rPr>
              <w:t>↑ Positive</w:t>
            </w:r>
          </w:p>
        </w:tc>
      </w:tr>
    </w:tbl>
    <w:p>
      <w:r>
        <w:rPr>
          <w:rFonts w:ascii="Calibri" w:hAnsi="Calibri"/>
          <w:i/>
          <w:color w:val="525866"/>
          <w:sz w:val="22"/>
        </w:rPr>
        <w:t>Source: USB Q1 2026 Earnings Call transcript (April 16, 2026); USB June 10, 2026 intra-quarter investor update; USB DFAST press release (June 24, 2026).</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Consensus estimates have drifted modestly higher since Q1 earnings, consistent with the constructive intra-quarter update. The gap between consensus and guidance midpoints is narrow, suggesting the street has largely priced in the upper end of guidance but has not yet incorporated BTIG upside.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Q2 2026 Guidance Range</w:t>
            </w:r>
          </w:p>
        </w:tc>
        <w:tc>
          <w:tcPr>
            <w:tcW w:type="dxa" w:w="1440"/>
            <w:shd w:val="clear" w:color="auto" w:fill="3B4259"/>
          </w:tcPr>
          <w:p>
            <w:r>
              <w:rPr>
                <w:rFonts w:ascii="Calibri" w:hAnsi="Calibri"/>
                <w:b/>
                <w:color w:val="FFFFFF"/>
                <w:sz w:val="22"/>
              </w:rPr>
              <w:t>Guidance Midpoint</w:t>
            </w:r>
          </w:p>
        </w:tc>
        <w:tc>
          <w:tcPr>
            <w:tcW w:type="dxa" w:w="1440"/>
            <w:shd w:val="clear" w:color="auto" w:fill="3B4259"/>
          </w:tcPr>
          <w:p>
            <w:r>
              <w:rPr>
                <w:rFonts w:ascii="Calibri" w:hAnsi="Calibri"/>
                <w:b/>
                <w:color w:val="FFFFFF"/>
                <w:sz w:val="22"/>
              </w:rPr>
              <w:t>Current Consensus</w:t>
            </w:r>
          </w:p>
        </w:tc>
        <w:tc>
          <w:tcPr>
            <w:tcW w:type="dxa" w:w="1440"/>
            <w:shd w:val="clear" w:color="auto" w:fill="3B4259"/>
          </w:tcPr>
          <w:p>
            <w:r>
              <w:rPr>
                <w:rFonts w:ascii="Calibri" w:hAnsi="Calibri"/>
                <w:b/>
                <w:color w:val="FFFFFF"/>
                <w:sz w:val="22"/>
              </w:rPr>
              <w:t>Cons. vs. Midpoint</w:t>
            </w:r>
          </w:p>
        </w:tc>
        <w:tc>
          <w:tcPr>
            <w:tcW w:type="dxa" w:w="1440"/>
            <w:shd w:val="clear" w:color="auto" w:fill="3B4259"/>
          </w:tcPr>
          <w:p>
            <w:r>
              <w:rPr>
                <w:rFonts w:ascii="Calibri" w:hAnsi="Calibri"/>
                <w:b/>
                <w:color w:val="FFFFFF"/>
                <w:sz w:val="22"/>
              </w:rPr>
              <w:t>Revision Direction</w:t>
            </w:r>
          </w:p>
        </w:tc>
      </w:tr>
      <w:tr>
        <w:tc>
          <w:tcPr>
            <w:tcW w:type="dxa" w:w="1440"/>
          </w:tcPr>
          <w:p>
            <w:r>
              <w:rPr>
                <w:rFonts w:ascii="Calibri" w:hAnsi="Calibri"/>
                <w:sz w:val="22"/>
              </w:rPr>
              <w:t>NII (FTE, YoY growth)</w:t>
            </w:r>
          </w:p>
        </w:tc>
        <w:tc>
          <w:tcPr>
            <w:tcW w:type="dxa" w:w="1440"/>
          </w:tcPr>
          <w:p>
            <w:r>
              <w:rPr>
                <w:rFonts w:ascii="Calibri" w:hAnsi="Calibri"/>
                <w:sz w:val="22"/>
              </w:rPr>
              <w:t>+6% to +7%</w:t>
            </w:r>
          </w:p>
        </w:tc>
        <w:tc>
          <w:tcPr>
            <w:tcW w:type="dxa" w:w="1440"/>
          </w:tcPr>
          <w:p>
            <w:r>
              <w:rPr>
                <w:rFonts w:ascii="Calibri" w:hAnsi="Calibri"/>
                <w:sz w:val="22"/>
              </w:rPr>
              <w:t>+6.5%</w:t>
            </w:r>
          </w:p>
        </w:tc>
        <w:tc>
          <w:tcPr>
            <w:tcW w:type="dxa" w:w="1440"/>
          </w:tcPr>
          <w:p>
            <w:r>
              <w:rPr>
                <w:rFonts w:ascii="Calibri" w:hAnsi="Calibri"/>
                <w:sz w:val="22"/>
              </w:rPr>
              <w:t>$4.342B (+7.2% YoY)</w:t>
            </w:r>
          </w:p>
        </w:tc>
        <w:tc>
          <w:tcPr>
            <w:tcW w:type="dxa" w:w="1440"/>
          </w:tcPr>
          <w:p>
            <w:r>
              <w:rPr>
                <w:rFonts w:ascii="Calibri" w:hAnsi="Calibri"/>
                <w:sz w:val="22"/>
              </w:rPr>
              <w:t>+0.7 pts above midpoint</w:t>
            </w:r>
          </w:p>
        </w:tc>
        <w:tc>
          <w:tcPr>
            <w:tcW w:type="dxa" w:w="1440"/>
          </w:tcPr>
          <w:p>
            <w:r>
              <w:rPr>
                <w:rFonts w:ascii="Calibri" w:hAnsi="Calibri"/>
                <w:b/>
                <w:color w:val="30A46C"/>
                <w:sz w:val="22"/>
              </w:rPr>
              <w:t>↑ Drifting higher (upper end)</w:t>
            </w:r>
          </w:p>
        </w:tc>
      </w:tr>
      <w:tr>
        <w:tc>
          <w:tcPr>
            <w:tcW w:type="dxa" w:w="1440"/>
          </w:tcPr>
          <w:p>
            <w:r>
              <w:rPr>
                <w:rFonts w:ascii="Calibri" w:hAnsi="Calibri"/>
                <w:sz w:val="22"/>
              </w:rPr>
              <w:t>Fee Revenue (YoY growth)</w:t>
            </w:r>
          </w:p>
        </w:tc>
        <w:tc>
          <w:tcPr>
            <w:tcW w:type="dxa" w:w="1440"/>
          </w:tcPr>
          <w:p>
            <w:r>
              <w:rPr>
                <w:rFonts w:ascii="Calibri" w:hAnsi="Calibri"/>
                <w:sz w:val="22"/>
              </w:rPr>
              <w:t>+6% to +7%</w:t>
            </w:r>
          </w:p>
        </w:tc>
        <w:tc>
          <w:tcPr>
            <w:tcW w:type="dxa" w:w="1440"/>
          </w:tcPr>
          <w:p>
            <w:r>
              <w:rPr>
                <w:rFonts w:ascii="Calibri" w:hAnsi="Calibri"/>
                <w:sz w:val="22"/>
              </w:rPr>
              <w:t>+6.5%</w:t>
            </w:r>
          </w:p>
        </w:tc>
        <w:tc>
          <w:tcPr>
            <w:tcW w:type="dxa" w:w="1440"/>
          </w:tcPr>
          <w:p>
            <w:r>
              <w:rPr>
                <w:rFonts w:ascii="Calibri" w:hAnsi="Calibri"/>
                <w:sz w:val="22"/>
              </w:rPr>
              <w:t>$3.231B (+8.4% YoY)</w:t>
            </w:r>
          </w:p>
        </w:tc>
        <w:tc>
          <w:tcPr>
            <w:tcW w:type="dxa" w:w="1440"/>
          </w:tcPr>
          <w:p>
            <w:r>
              <w:rPr>
                <w:rFonts w:ascii="Calibri" w:hAnsi="Calibri"/>
                <w:sz w:val="22"/>
              </w:rPr>
              <w:t>+~2 pts above range</w:t>
            </w:r>
          </w:p>
        </w:tc>
        <w:tc>
          <w:tcPr>
            <w:tcW w:type="dxa" w:w="1440"/>
          </w:tcPr>
          <w:p>
            <w:r>
              <w:rPr>
                <w:rFonts w:ascii="Calibri" w:hAnsi="Calibri"/>
                <w:b/>
                <w:color w:val="30A46C"/>
                <w:sz w:val="22"/>
              </w:rPr>
              <w:t>↑↑ Above guidance (capital markets)</w:t>
            </w:r>
          </w:p>
        </w:tc>
      </w:tr>
      <w:tr>
        <w:tc>
          <w:tcPr>
            <w:tcW w:type="dxa" w:w="1440"/>
          </w:tcPr>
          <w:p>
            <w:r>
              <w:rPr>
                <w:rFonts w:ascii="Calibri" w:hAnsi="Calibri"/>
                <w:sz w:val="22"/>
              </w:rPr>
              <w:t>Expense Growth (YoY)</w:t>
            </w:r>
          </w:p>
        </w:tc>
        <w:tc>
          <w:tcPr>
            <w:tcW w:type="dxa" w:w="1440"/>
          </w:tcPr>
          <w:p>
            <w:r>
              <w:rPr>
                <w:rFonts w:ascii="Calibri" w:hAnsi="Calibri"/>
                <w:sz w:val="22"/>
              </w:rPr>
              <w:t>+3% to +4%</w:t>
            </w:r>
          </w:p>
        </w:tc>
        <w:tc>
          <w:tcPr>
            <w:tcW w:type="dxa" w:w="1440"/>
          </w:tcPr>
          <w:p>
            <w:r>
              <w:rPr>
                <w:rFonts w:ascii="Calibri" w:hAnsi="Calibri"/>
                <w:sz w:val="22"/>
              </w:rPr>
              <w:t>+3.5%</w:t>
            </w:r>
          </w:p>
        </w:tc>
        <w:tc>
          <w:tcPr>
            <w:tcW w:type="dxa" w:w="1440"/>
          </w:tcPr>
          <w:p>
            <w:r>
              <w:rPr>
                <w:rFonts w:ascii="Calibri" w:hAnsi="Calibri"/>
                <w:sz w:val="22"/>
              </w:rPr>
              <w:t>$4.360B (+4.3% YoY)</w:t>
            </w:r>
          </w:p>
        </w:tc>
        <w:tc>
          <w:tcPr>
            <w:tcW w:type="dxa" w:w="1440"/>
          </w:tcPr>
          <w:p>
            <w:r>
              <w:rPr>
                <w:rFonts w:ascii="Calibri" w:hAnsi="Calibri"/>
                <w:sz w:val="22"/>
              </w:rPr>
              <w:t>+0.8 pts above midpoint</w:t>
            </w:r>
          </w:p>
        </w:tc>
        <w:tc>
          <w:tcPr>
            <w:tcW w:type="dxa" w:w="1440"/>
          </w:tcPr>
          <w:p>
            <w:r>
              <w:rPr>
                <w:rFonts w:ascii="Calibri" w:hAnsi="Calibri"/>
                <w:b/>
                <w:color w:val="002FA7"/>
                <w:sz w:val="22"/>
              </w:rPr>
              <w:t>→ In line / slight upward drift</w:t>
            </w:r>
          </w:p>
        </w:tc>
      </w:tr>
      <w:tr>
        <w:tc>
          <w:tcPr>
            <w:tcW w:type="dxa" w:w="1440"/>
          </w:tcPr>
          <w:p>
            <w:r>
              <w:rPr>
                <w:rFonts w:ascii="Calibri" w:hAnsi="Calibri"/>
                <w:sz w:val="22"/>
              </w:rPr>
              <w:t>Operating EPS</w:t>
            </w:r>
          </w:p>
        </w:tc>
        <w:tc>
          <w:tcPr>
            <w:tcW w:type="dxa" w:w="1440"/>
          </w:tcPr>
          <w:p>
            <w:r>
              <w:rPr>
                <w:rFonts w:ascii="Calibri" w:hAnsi="Calibri"/>
                <w:sz w:val="22"/>
              </w:rPr>
              <w:t>No explicit guide</w:t>
            </w:r>
          </w:p>
        </w:tc>
        <w:tc>
          <w:tcPr>
            <w:tcW w:type="dxa" w:w="1440"/>
          </w:tcPr>
          <w:p>
            <w:r>
              <w:rPr>
                <w:rFonts w:ascii="Calibri" w:hAnsi="Calibri"/>
                <w:sz w:val="22"/>
              </w:rPr>
              <w:t>N/A</w:t>
            </w:r>
          </w:p>
        </w:tc>
        <w:tc>
          <w:tcPr>
            <w:tcW w:type="dxa" w:w="1440"/>
          </w:tcPr>
          <w:p>
            <w:r>
              <w:rPr>
                <w:rFonts w:ascii="Calibri" w:hAnsi="Calibri"/>
                <w:sz w:val="22"/>
              </w:rPr>
              <w:t>$1.28</w:t>
            </w:r>
          </w:p>
        </w:tc>
        <w:tc>
          <w:tcPr>
            <w:tcW w:type="dxa" w:w="1440"/>
          </w:tcPr>
          <w:p>
            <w:r>
              <w:rPr>
                <w:rFonts w:ascii="Calibri" w:hAnsi="Calibri"/>
                <w:sz w:val="22"/>
              </w:rPr>
              <w:t>N/A</w:t>
            </w:r>
          </w:p>
        </w:tc>
        <w:tc>
          <w:tcPr>
            <w:tcW w:type="dxa" w:w="1440"/>
          </w:tcPr>
          <w:p>
            <w:r>
              <w:rPr>
                <w:rFonts w:ascii="Calibri" w:hAnsi="Calibri"/>
                <w:b/>
                <w:color w:val="30A46C"/>
                <w:sz w:val="22"/>
              </w:rPr>
              <w:t>↑ Consistent with revenue beat pattern</w:t>
            </w:r>
          </w:p>
        </w:tc>
      </w:tr>
      <w:tr>
        <w:tc>
          <w:tcPr>
            <w:tcW w:type="dxa" w:w="1440"/>
          </w:tcPr>
          <w:p>
            <w:r>
              <w:rPr>
                <w:rFonts w:ascii="Calibri" w:hAnsi="Calibri"/>
                <w:sz w:val="22"/>
              </w:rPr>
              <w:t>NIM (%)</w:t>
            </w:r>
          </w:p>
        </w:tc>
        <w:tc>
          <w:tcPr>
            <w:tcW w:type="dxa" w:w="1440"/>
          </w:tcPr>
          <w:p>
            <w:r>
              <w:rPr>
                <w:rFonts w:ascii="Calibri" w:hAnsi="Calibri"/>
                <w:sz w:val="22"/>
              </w:rPr>
              <w:t>Sequential expansion</w:t>
            </w:r>
          </w:p>
        </w:tc>
        <w:tc>
          <w:tcPr>
            <w:tcW w:type="dxa" w:w="1440"/>
          </w:tcPr>
          <w:p>
            <w:r>
              <w:rPr>
                <w:rFonts w:ascii="Calibri" w:hAnsi="Calibri"/>
                <w:sz w:val="22"/>
              </w:rPr>
              <w:t>~2.79%</w:t>
            </w:r>
          </w:p>
        </w:tc>
        <w:tc>
          <w:tcPr>
            <w:tcW w:type="dxa" w:w="1440"/>
          </w:tcPr>
          <w:p>
            <w:r>
              <w:rPr>
                <w:rFonts w:ascii="Calibri" w:hAnsi="Calibri"/>
                <w:sz w:val="22"/>
              </w:rPr>
              <w:t>2.79%</w:t>
            </w:r>
          </w:p>
        </w:tc>
        <w:tc>
          <w:tcPr>
            <w:tcW w:type="dxa" w:w="1440"/>
          </w:tcPr>
          <w:p>
            <w:r>
              <w:rPr>
                <w:rFonts w:ascii="Calibri" w:hAnsi="Calibri"/>
                <w:sz w:val="22"/>
              </w:rPr>
              <w:t>In line</w:t>
            </w:r>
          </w:p>
        </w:tc>
        <w:tc>
          <w:tcPr>
            <w:tcW w:type="dxa" w:w="1440"/>
          </w:tcPr>
          <w:p>
            <w:r>
              <w:rPr>
                <w:rFonts w:ascii="Calibri" w:hAnsi="Calibri"/>
                <w:sz w:val="22"/>
              </w:rPr>
              <w:t>→ Stable; modest expansion priced in</w:t>
            </w:r>
          </w:p>
        </w:tc>
      </w:tr>
    </w:tbl>
    <w:p>
      <w:r>
        <w:rPr>
          <w:rFonts w:ascii="Calibri" w:hAnsi="Calibri"/>
          <w:i/>
          <w:color w:val="525866"/>
          <w:sz w:val="22"/>
        </w:rPr>
        <w:t>Source: Visible Alpha consensus data; USB Q1 2026 Earnings Call (April 16, 2026); USB June 10, 2026 intra-quarter update.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USB has significantly outperformed both the regional bank ETF (KRE) and the S&amp;P 500 since Q1 2026 earnings, rallying ~13.6% vs. KRE +10.1% and SPY +7.6%. The stock has partially priced in execution, but at ~11x forward P/E on FY2026 consensus EPS of ~$5.14, the multiple remains undemanding relative to the improving ROTCE trajectory and the BTIG-driven capital markets growth optionality.</w:t>
      </w:r>
    </w:p>
    <w:p>
      <w:r>
        <w:rPr>
          <w:rFonts w:ascii="Calibri" w:hAnsi="Calibri"/>
          <w:i/>
          <w:color w:val="525866"/>
          <w:sz w:val="22"/>
        </w:rPr>
        <w:t>Source: Stock Price Data; Visible Alpha consensus data.</w:t>
      </w:r>
    </w:p>
    <w:p>
      <w:r>
        <w:br w:type="page"/>
      </w:r>
    </w:p>
    <w:p>
      <w:pPr>
        <w:pStyle w:val="Heading2"/>
      </w:pPr>
      <w:r>
        <w:rPr>
          <w:rFonts w:ascii="Calibri" w:hAnsi="Calibri"/>
          <w:b/>
          <w:color w:val="3B4259"/>
          <w:sz w:val="28"/>
        </w:rPr>
        <w:t>6. Material News &amp; Developments (Since Q1 2026 Earnings)</w:t>
      </w:r>
    </w:p>
    <w:p>
      <w:r>
        <w:rPr>
          <w:rFonts w:ascii="Calibri" w:hAnsi="Calibri"/>
          <w:b/>
          <w:color w:val="525866"/>
          <w:sz w:val="22"/>
        </w:rPr>
        <w:t xml:space="preserve">Key Takeaway: </w:t>
      </w:r>
      <w:r>
        <w:rPr>
          <w:rFonts w:ascii="Calibri" w:hAnsi="Calibri"/>
          <w:color w:val="525866"/>
          <w:sz w:val="22"/>
        </w:rPr>
        <w:t>Three material developments since Q1 earnings are incrementally positive: BTIG closed, the dividend was raised, and the June 10 intra-quarter update confirmed above-guidance fee revenue tracking. The Amazon small business card launch (Q3 2026) and Category 2 regulatory transition remain medium-term catalysts.</w:t>
      </w:r>
    </w:p>
    <w:p>
      <w:pPr>
        <w:pStyle w:val="ListBullet"/>
        <w:ind w:left="360" w:hanging="360"/>
      </w:pPr>
      <w:r>
        <w:rPr>
          <w:rFonts w:ascii="Calibri" w:hAnsi="Calibri"/>
          <w:b/>
          <w:color w:val="525866"/>
          <w:sz w:val="22"/>
        </w:rPr>
        <w:t>BTIG Acquisition Closed (June 1, 2026):</w:t>
      </w:r>
      <w:r>
        <w:rPr>
          <w:rFonts w:ascii="Calibri" w:hAnsi="Calibri"/>
          <w:color w:val="525866"/>
          <w:sz w:val="22"/>
        </w:rPr>
        <w:t xml:space="preserve"> USB closed the BTIG acquisition on June 1, adding equity and investment banking capabilities to its capital markets platform. Management had previously guided for BTIG to be slightly accretive inclusive of integration charges, with its impact to be formally incorporated into guidance at Q2 earnings. Capital markets revenue was already tracking above the guided range as of June 10, suggesting BTIG is contributing positively in its first weeks.</w:t>
      </w:r>
    </w:p>
    <w:p>
      <w:pPr>
        <w:pStyle w:val="ListBullet"/>
        <w:ind w:left="360" w:hanging="360"/>
      </w:pPr>
      <w:r>
        <w:rPr>
          <w:rFonts w:ascii="Calibri" w:hAnsi="Calibri"/>
          <w:b/>
          <w:color w:val="525866"/>
          <w:sz w:val="22"/>
        </w:rPr>
        <w:t>Dividend Raised 3.8% (June 24, 2026 DFAST):</w:t>
      </w:r>
      <w:r>
        <w:rPr>
          <w:rFonts w:ascii="Calibri" w:hAnsi="Calibri"/>
          <w:color w:val="525866"/>
          <w:sz w:val="22"/>
        </w:rPr>
        <w:t xml:space="preserve"> Following the Federal Reserve's stress test results, USB announced a quarterly common stock dividend increase from $0.52 to $0.54 per share, effective Q3 2026, subject to Board approval. The Stress Capital Buffer (SCB) was held unchanged at 2.6%, maintaining the CET1 minimum requirement at 7.1% through October 2027. CEO Gunjan Kedia cited the results as underscoring 'the strength of our balance sheet, the resilience of our business model, and our ability to continue serving clients through a wide range of economic scenarios.'</w:t>
      </w:r>
    </w:p>
    <w:p>
      <w:pPr>
        <w:pStyle w:val="ListBullet"/>
        <w:ind w:left="360" w:hanging="360"/>
      </w:pPr>
      <w:r>
        <w:rPr>
          <w:rFonts w:ascii="Calibri" w:hAnsi="Calibri"/>
          <w:b/>
          <w:color w:val="525866"/>
          <w:sz w:val="22"/>
        </w:rPr>
        <w:t>June 10 Intra-Quarter Update:</w:t>
      </w:r>
      <w:r>
        <w:rPr>
          <w:rFonts w:ascii="Calibri" w:hAnsi="Calibri"/>
          <w:color w:val="525866"/>
          <w:sz w:val="22"/>
        </w:rPr>
        <w:t xml:space="preserve"> Management provided an intra-quarter tracking update at an investor conference: NII growth tracking toward the upper end of the 6–7% guided range; fee revenue tracking above the guided range driven by capital markets strength; expenses tracking in line with the 3–4% guided range; full-year guidance unchanged. This was the most explicit positive pre-announcement since Q1 earnings.</w:t>
      </w:r>
    </w:p>
    <w:p>
      <w:pPr>
        <w:pStyle w:val="ListBullet"/>
        <w:ind w:left="360" w:hanging="360"/>
      </w:pPr>
      <w:r>
        <w:rPr>
          <w:rFonts w:ascii="Calibri" w:hAnsi="Calibri"/>
          <w:b/>
          <w:color w:val="525866"/>
          <w:sz w:val="22"/>
        </w:rPr>
        <w:t>Amazon Small Business Card Partnership (Q3 2026 Launch Expected):</w:t>
      </w:r>
      <w:r>
        <w:rPr>
          <w:rFonts w:ascii="Calibri" w:hAnsi="Calibri"/>
          <w:color w:val="525866"/>
          <w:sz w:val="22"/>
        </w:rPr>
        <w:t xml:space="preserve"> USB is transitioning approximately 700,000 Amazon small business co-brand clients from Amex, with the launch expected in Q3 2026. Management expects the partnership to add meaningful revenue per quarter primarily through NII, and sees it as a pathway to broader banking relationships with small business clients.</w:t>
      </w:r>
    </w:p>
    <w:p>
      <w:pPr>
        <w:pStyle w:val="ListBullet"/>
        <w:ind w:left="360" w:hanging="360"/>
      </w:pPr>
      <w:r>
        <w:rPr>
          <w:rFonts w:ascii="Calibri" w:hAnsi="Calibri"/>
          <w:b/>
          <w:color w:val="525866"/>
          <w:sz w:val="22"/>
        </w:rPr>
        <w:t>NFL Partnership Announced:</w:t>
      </w:r>
      <w:r>
        <w:rPr>
          <w:rFonts w:ascii="Calibri" w:hAnsi="Calibri"/>
          <w:color w:val="525866"/>
          <w:sz w:val="22"/>
        </w:rPr>
        <w:t xml:space="preserve"> USB announced a partnership with the NFL to build brand nationally and serve NFL athletes and families through its Financial Edge program, expanding its wealth management and brand reach.</w:t>
      </w:r>
    </w:p>
    <w:p>
      <w:pPr>
        <w:pStyle w:val="ListBullet"/>
        <w:ind w:left="360" w:hanging="360"/>
      </w:pPr>
      <w:r>
        <w:rPr>
          <w:rFonts w:ascii="Calibri" w:hAnsi="Calibri"/>
          <w:b/>
          <w:color w:val="525866"/>
          <w:sz w:val="22"/>
        </w:rPr>
        <w:t>Category 2 Regulatory Transition:</w:t>
      </w:r>
      <w:r>
        <w:rPr>
          <w:rFonts w:ascii="Calibri" w:hAnsi="Calibri"/>
          <w:color w:val="525866"/>
          <w:sz w:val="22"/>
        </w:rPr>
        <w:t xml:space="preserve"> USB crossed $700 billion in ending assets in Q1 2026. The four-quarter average asset threshold for Category 2 designation is expected to be met sometime in 2027 under current rules. Basel III proposals are seen as favorable, with meaningful RWA relief expected, potentially accelerating capital distribution timelines by one to two quarters.</w:t>
      </w:r>
    </w:p>
    <w:p>
      <w:pPr>
        <w:pStyle w:val="ListBullet"/>
        <w:ind w:left="360" w:hanging="360"/>
      </w:pPr>
      <w:r>
        <w:rPr>
          <w:rFonts w:ascii="Calibri" w:hAnsi="Calibri"/>
          <w:b/>
          <w:color w:val="525866"/>
          <w:sz w:val="22"/>
        </w:rPr>
        <w:t>Morgan Stanley U.S. Financials Conference (June 3, 2026):</w:t>
      </w:r>
      <w:r>
        <w:rPr>
          <w:rFonts w:ascii="Calibri" w:hAnsi="Calibri"/>
          <w:color w:val="525866"/>
          <w:sz w:val="22"/>
        </w:rPr>
        <w:t xml:space="preserve"> USB management spoke at the Morgan Stanley U.S. Financials Conference, reiterating strategic priorities around NIM expansion, payments transformation, AI deployment, and the BTIG integration.</w:t>
      </w:r>
    </w:p>
    <w:p>
      <w:r>
        <w:br w:type="page"/>
      </w:r>
    </w:p>
    <w:p>
      <w:pPr>
        <w:pStyle w:val="Heading2"/>
      </w:pPr>
      <w:r>
        <w:rPr>
          <w:rFonts w:ascii="Calibri" w:hAnsi="Calibri"/>
          <w:b/>
          <w:color w:val="3B4259"/>
          <w:sz w:val="28"/>
        </w:rPr>
        <w:t>7. Peer Commentaries — Q2 2026 Read-Throughs</w:t>
      </w:r>
    </w:p>
    <w:p>
      <w:r>
        <w:rPr>
          <w:rFonts w:ascii="Calibri" w:hAnsi="Calibri"/>
          <w:b/>
          <w:color w:val="525866"/>
          <w:sz w:val="22"/>
        </w:rPr>
        <w:t xml:space="preserve">Key Takeaway: </w:t>
      </w:r>
      <w:r>
        <w:rPr>
          <w:rFonts w:ascii="Calibri" w:hAnsi="Calibri"/>
          <w:color w:val="525866"/>
          <w:sz w:val="22"/>
        </w:rPr>
        <w:t>Peers that have already reported Q2 2026 (JPM, WFC, BAC, PNC, MTB) paint a broadly constructive picture for USB: NII is growing, fee revenue (especially capital markets) is accelerating, loan growth is picking up, and credit quality remains stable. The read-through is positive across all key USB KPIs. Conference commentary from RF, KEY, TFC, and others (April–June 2026) provided early intra-quarter signals that have since been confirmed by the Q2 prints.</w:t>
      </w:r>
    </w:p>
    <w:p>
      <w:r>
        <w:rPr>
          <w:rFonts w:ascii="Calibri" w:hAnsi="Calibri"/>
          <w:b/>
          <w:i/>
          <w:color w:val="525866"/>
          <w:sz w:val="22"/>
        </w:rPr>
        <w:t xml:space="preserve">Note on scope: </w:t>
      </w:r>
      <w:r>
        <w:rPr>
          <w:rFonts w:ascii="Calibri" w:hAnsi="Calibri"/>
          <w:i/>
          <w:color w:val="525866"/>
          <w:sz w:val="22"/>
        </w:rPr>
        <w:t>Only commentary about Q2 2026 (the current reporting quarter) is included below. Q1 2026 earnings call commentary about Q1 results has been excluded. Conference commentary from April–June 2026 is included where it provides forward-looking signals about Q2 2026 trends.</w:t>
      </w:r>
    </w:p>
    <w:p>
      <w:pPr>
        <w:pStyle w:val="Heading3"/>
      </w:pPr>
      <w:r>
        <w:rPr>
          <w:rFonts w:ascii="Calibri" w:hAnsi="Calibri"/>
          <w:b/>
          <w:color w:val="3B4259"/>
          <w:sz w:val="24"/>
        </w:rPr>
        <w:t>7.1 JPMorgan Chase (JPM) — Q2 2026 Earnings (July 14, 2026)</w:t>
      </w:r>
    </w:p>
    <w:p>
      <w:r>
        <w:rPr>
          <w:rFonts w:ascii="Calibri" w:hAnsi="Calibri"/>
          <w:b/>
          <w:color w:val="525866"/>
          <w:sz w:val="22"/>
        </w:rPr>
        <w:t xml:space="preserve">Read-Through Relevance: </w:t>
      </w:r>
      <w:r>
        <w:rPr>
          <w:rFonts w:ascii="Calibri" w:hAnsi="Calibri"/>
          <w:color w:val="525866"/>
          <w:sz w:val="22"/>
        </w:rPr>
        <w:t>JPM is the largest U.S. bank and sets the tone for the sector. Its Q2 2026 results are a strong positive read-through for USB across NII, capital markets, and credit quality.</w:t>
      </w:r>
    </w:p>
    <w:p>
      <w:pPr>
        <w:pStyle w:val="ListBullet"/>
        <w:ind w:left="360" w:hanging="360"/>
      </w:pPr>
      <w:r>
        <w:rPr>
          <w:rFonts w:ascii="Calibri" w:hAnsi="Calibri"/>
          <w:b/>
          <w:color w:val="525866"/>
          <w:sz w:val="22"/>
        </w:rPr>
        <w:t>NII &amp; NIM:</w:t>
      </w:r>
      <w:r>
        <w:rPr>
          <w:rFonts w:ascii="Calibri" w:hAnsi="Calibri"/>
          <w:color w:val="525866"/>
          <w:sz w:val="22"/>
        </w:rPr>
        <w:t xml:space="preserve"> JPM reported strong NII growth in Q2 2026, driven by higher loan balances and favorable deposit repricing. The broad-based NII expansion across large banks is a positive signal for USB's guided 6–7% NII growth, which was already tracking toward the upper end of the range as of June 10.</w:t>
      </w:r>
    </w:p>
    <w:p>
      <w:pPr>
        <w:pStyle w:val="ListBullet"/>
        <w:ind w:left="360" w:hanging="360"/>
      </w:pPr>
      <w:r>
        <w:rPr>
          <w:rFonts w:ascii="Calibri" w:hAnsi="Calibri"/>
          <w:b/>
          <w:color w:val="525866"/>
          <w:sz w:val="22"/>
        </w:rPr>
        <w:t>Capital Markets:</w:t>
      </w:r>
      <w:r>
        <w:rPr>
          <w:rFonts w:ascii="Calibri" w:hAnsi="Calibri"/>
          <w:color w:val="525866"/>
          <w:sz w:val="22"/>
        </w:rPr>
        <w:t xml:space="preserve"> JPM's investment banking and markets revenues were strong in Q2 2026, consistent with the broader capital markets acceleration that USB's management flagged as driving fee revenue above the guided range. This is a direct positive read-through for USB's capital markets revenue line, which has been a key growth driver and is further augmented by the BTIG acquisition.</w:t>
      </w:r>
    </w:p>
    <w:p>
      <w:pPr>
        <w:pStyle w:val="ListBullet"/>
        <w:ind w:left="360" w:hanging="360"/>
      </w:pPr>
      <w:r>
        <w:rPr>
          <w:rFonts w:ascii="Calibri" w:hAnsi="Calibri"/>
          <w:b/>
          <w:color w:val="525866"/>
          <w:sz w:val="22"/>
        </w:rPr>
        <w:t>Loan Growth:</w:t>
      </w:r>
      <w:r>
        <w:rPr>
          <w:rFonts w:ascii="Calibri" w:hAnsi="Calibri"/>
          <w:color w:val="525866"/>
          <w:sz w:val="22"/>
        </w:rPr>
        <w:t xml:space="preserve"> JPM reported broad-based commercial and consumer loan growth in Q2 2026, consistent with USB's mid-single-digit full-year loan growth guidance and the strong pipelines management cited in large corporate, M&amp;A, and small business segments.</w:t>
      </w:r>
    </w:p>
    <w:p>
      <w:pPr>
        <w:pStyle w:val="ListBullet"/>
        <w:ind w:left="360" w:hanging="360"/>
      </w:pPr>
      <w:r>
        <w:rPr>
          <w:rFonts w:ascii="Calibri" w:hAnsi="Calibri"/>
          <w:b/>
          <w:color w:val="525866"/>
          <w:sz w:val="22"/>
        </w:rPr>
        <w:t>Credit Quality:</w:t>
      </w:r>
      <w:r>
        <w:rPr>
          <w:rFonts w:ascii="Calibri" w:hAnsi="Calibri"/>
          <w:color w:val="525866"/>
          <w:sz w:val="22"/>
        </w:rPr>
        <w:t xml:space="preserve"> JPM's credit quality metrics remained stable in Q2 2026, with no material deterioration in NCO ratios — a positive read-through for USB's NCO ratio consensus of 0.567%, which is expected to remain stable to slightly improved YoY.</w:t>
      </w:r>
    </w:p>
    <w:p>
      <w:pPr>
        <w:pStyle w:val="Heading3"/>
      </w:pPr>
      <w:r>
        <w:rPr>
          <w:rFonts w:ascii="Calibri" w:hAnsi="Calibri"/>
          <w:b/>
          <w:color w:val="3B4259"/>
          <w:sz w:val="24"/>
        </w:rPr>
        <w:t>7.2 Wells Fargo (WFC) — Q2 2026 Earnings (July 14, 2026)</w:t>
      </w:r>
    </w:p>
    <w:p>
      <w:r>
        <w:rPr>
          <w:rFonts w:ascii="Calibri" w:hAnsi="Calibri"/>
          <w:b/>
          <w:color w:val="525866"/>
          <w:sz w:val="22"/>
        </w:rPr>
        <w:t xml:space="preserve">Read-Through Relevance: </w:t>
      </w:r>
      <w:r>
        <w:rPr>
          <w:rFonts w:ascii="Calibri" w:hAnsi="Calibri"/>
          <w:color w:val="525866"/>
          <w:sz w:val="22"/>
        </w:rPr>
        <w:t>WFC is the most direct large-bank peer for USB given its similar diversified banking model, consumer deposit franchise, and payments business. WFC's Q2 2026 results are a strong positive read-through.</w:t>
      </w:r>
    </w:p>
    <w:p>
      <w:pPr>
        <w:pStyle w:val="ListBullet"/>
        <w:ind w:left="360" w:hanging="360"/>
      </w:pPr>
      <w:r>
        <w:rPr>
          <w:rFonts w:ascii="Calibri" w:hAnsi="Calibri"/>
          <w:b/>
          <w:color w:val="525866"/>
          <w:sz w:val="22"/>
        </w:rPr>
        <w:t>NII Growth:</w:t>
      </w:r>
      <w:r>
        <w:rPr>
          <w:rFonts w:ascii="Calibri" w:hAnsi="Calibri"/>
          <w:color w:val="525866"/>
          <w:sz w:val="22"/>
        </w:rPr>
        <w:t xml:space="preserve"> WFC reported NII up 5% YoY and 2% QoQ in Q2 2026, driven by higher loan and investment securities balances and one additional day in the quarter. WFC maintained its full-year NII guidance of '$50 billion plus or minus,' with stronger growth expected in H2 2026. This is a positive read-through for USB's NII trajectory, as both banks benefit from fixed-rate asset repricing and stable deposit pricing.</w:t>
      </w:r>
    </w:p>
    <w:p>
      <w:pPr>
        <w:pStyle w:val="ListBullet"/>
        <w:ind w:left="360" w:hanging="360"/>
      </w:pPr>
      <w:r>
        <w:rPr>
          <w:rFonts w:ascii="Calibri" w:hAnsi="Calibri"/>
          <w:b/>
          <w:color w:val="525866"/>
          <w:sz w:val="22"/>
        </w:rPr>
        <w:t>Fee Revenue Acceleration:</w:t>
      </w:r>
      <w:r>
        <w:rPr>
          <w:rFonts w:ascii="Calibri" w:hAnsi="Calibri"/>
          <w:color w:val="525866"/>
          <w:sz w:val="22"/>
        </w:rPr>
        <w:t xml:space="preserve"> WFC's non-interest income surged 13% YoY to over $10 billion in Q2, with investment banking fees reaching a new record of over $900 million. Double-digit growth in investment advisory fees, brokerage commissions, and investment banking fees directly validates USB's capital markets fee revenue tracking above the guided range. WFC's Corporate Investment Bank revenue grew 16% and Markets revenue grew 24% YoY.</w:t>
      </w:r>
    </w:p>
    <w:p>
      <w:pPr>
        <w:pStyle w:val="ListBullet"/>
        <w:ind w:left="360" w:hanging="360"/>
      </w:pPr>
      <w:r>
        <w:rPr>
          <w:rFonts w:ascii="Calibri" w:hAnsi="Calibri"/>
          <w:b/>
          <w:color w:val="525866"/>
          <w:sz w:val="22"/>
        </w:rPr>
        <w:t>Loan Growth Upgrade:</w:t>
      </w:r>
      <w:r>
        <w:rPr>
          <w:rFonts w:ascii="Calibri" w:hAnsi="Calibri"/>
          <w:color w:val="525866"/>
          <w:sz w:val="22"/>
        </w:rPr>
        <w:t xml:space="preserve"> WFC upgraded its loan growth outlook, noting that YoY average loan growth in Q4 2026 will likely be higher than the mid-single-digit increase assumed in January. Average loans grew 12% YoY in Q2, driven by C&amp;I and consumer portfolios. This is a positive read-through for USB's mid-single-digit loan growth guidance, which management had already revised upward from 3–4%.</w:t>
      </w:r>
    </w:p>
    <w:p>
      <w:pPr>
        <w:pStyle w:val="ListBullet"/>
        <w:ind w:left="360" w:hanging="360"/>
      </w:pPr>
      <w:r>
        <w:rPr>
          <w:rFonts w:ascii="Calibri" w:hAnsi="Calibri"/>
          <w:b/>
          <w:color w:val="525866"/>
          <w:sz w:val="22"/>
        </w:rPr>
        <w:t>Payments &amp; Treasury Management:</w:t>
      </w:r>
      <w:r>
        <w:rPr>
          <w:rFonts w:ascii="Calibri" w:hAnsi="Calibri"/>
          <w:color w:val="525866"/>
          <w:sz w:val="22"/>
        </w:rPr>
        <w:t xml:space="preserve"> WFC's treasury management and payments revenues were up 5% YoY across both commercial and corporate investment bank segments — a positive read-through for USB's payments franchise, which is a key differentiator and fee revenue driver.</w:t>
      </w:r>
    </w:p>
    <w:p>
      <w:pPr>
        <w:pStyle w:val="ListBullet"/>
        <w:ind w:left="360" w:hanging="360"/>
      </w:pPr>
      <w:r>
        <w:rPr>
          <w:rFonts w:ascii="Calibri" w:hAnsi="Calibri"/>
          <w:b/>
          <w:color w:val="525866"/>
          <w:sz w:val="22"/>
        </w:rPr>
        <w:t>ROTCE:</w:t>
      </w:r>
      <w:r>
        <w:rPr>
          <w:rFonts w:ascii="Calibri" w:hAnsi="Calibri"/>
          <w:color w:val="525866"/>
          <w:sz w:val="22"/>
        </w:rPr>
        <w:t xml:space="preserve"> WFC's ROTCE improved from 15.2% a year ago to 17.7% in Q2 2026, with management expressing confidence in achieving a sustainable 17–18% ROTCE. This is a positive read-through for USB's ROTCE trajectory (consensus 17.2% for Q2 2026), suggesting the sector-wide return improvement is real and durable.</w:t>
      </w:r>
    </w:p>
    <w:p>
      <w:pPr>
        <w:pStyle w:val="ListBullet"/>
        <w:ind w:left="360" w:hanging="360"/>
      </w:pPr>
      <w:r>
        <w:rPr>
          <w:rFonts w:ascii="Calibri" w:hAnsi="Calibri"/>
          <w:b/>
          <w:color w:val="525866"/>
          <w:sz w:val="22"/>
        </w:rPr>
        <w:t>EPS:</w:t>
      </w:r>
      <w:r>
        <w:rPr>
          <w:rFonts w:ascii="Calibri" w:hAnsi="Calibri"/>
          <w:color w:val="525866"/>
          <w:sz w:val="22"/>
        </w:rPr>
        <w:t xml:space="preserve"> WFC grew diluted EPS 25% YoY to $2.00 in Q2 2026, with total revenue up 9% YoY. The magnitude of the beat relative to consensus is a positive sector-level signal for USB's own EPS beat pattern.</w:t>
      </w:r>
    </w:p>
    <w:p>
      <w:pPr>
        <w:pStyle w:val="Heading3"/>
      </w:pPr>
      <w:r>
        <w:rPr>
          <w:rFonts w:ascii="Calibri" w:hAnsi="Calibri"/>
          <w:b/>
          <w:color w:val="3B4259"/>
          <w:sz w:val="24"/>
        </w:rPr>
        <w:t>7.3 Bank of America (BAC) — Q2 2026 Earnings (July 14, 2026)</w:t>
      </w:r>
    </w:p>
    <w:p>
      <w:r>
        <w:rPr>
          <w:rFonts w:ascii="Calibri" w:hAnsi="Calibri"/>
          <w:b/>
          <w:color w:val="525866"/>
          <w:sz w:val="22"/>
        </w:rPr>
        <w:t xml:space="preserve">Read-Through Relevance: </w:t>
      </w:r>
      <w:r>
        <w:rPr>
          <w:rFonts w:ascii="Calibri" w:hAnsi="Calibri"/>
          <w:color w:val="525866"/>
          <w:sz w:val="22"/>
        </w:rPr>
        <w:t>BAC's diversified model (consumer banking, wealth management, capital markets) closely mirrors USB's strategic direction. BAC's Q2 2026 results provide strong read-throughs on NII, fee revenue, and credit quality.</w:t>
      </w:r>
    </w:p>
    <w:p>
      <w:pPr>
        <w:pStyle w:val="ListBullet"/>
        <w:ind w:left="360" w:hanging="360"/>
      </w:pPr>
      <w:r>
        <w:rPr>
          <w:rFonts w:ascii="Calibri" w:hAnsi="Calibri"/>
          <w:b/>
          <w:color w:val="525866"/>
          <w:sz w:val="22"/>
        </w:rPr>
        <w:t>NII Expansion:</w:t>
      </w:r>
      <w:r>
        <w:rPr>
          <w:rFonts w:ascii="Calibri" w:hAnsi="Calibri"/>
          <w:color w:val="525866"/>
          <w:sz w:val="22"/>
        </w:rPr>
        <w:t xml:space="preserve"> BAC reported NII growth in Q2 2026, driven by higher loan balances, favorable deposit mix, and fixed-rate asset repricing. BAC's management highlighted that the NII tailwind from fixed-rate asset repricing is ongoing and expected to continue through 2026–2027 — directly validating USB's path to 3% NIM by 2027.</w:t>
      </w:r>
    </w:p>
    <w:p>
      <w:pPr>
        <w:pStyle w:val="ListBullet"/>
        <w:ind w:left="360" w:hanging="360"/>
      </w:pPr>
      <w:r>
        <w:rPr>
          <w:rFonts w:ascii="Calibri" w:hAnsi="Calibri"/>
          <w:b/>
          <w:color w:val="525866"/>
          <w:sz w:val="22"/>
        </w:rPr>
        <w:t>Capital Markets Strength:</w:t>
      </w:r>
      <w:r>
        <w:rPr>
          <w:rFonts w:ascii="Calibri" w:hAnsi="Calibri"/>
          <w:color w:val="525866"/>
          <w:sz w:val="22"/>
        </w:rPr>
        <w:t xml:space="preserve"> BAC's Global Markets and investment banking revenues were strong in Q2 2026, consistent with the broad-based capital markets acceleration. BAC's Bernstein conference commentary (May 27, 2026) had already flagged strong capital markets pipelines and M&amp;A activity, which proved accurate. This is a positive read-through for USB's capital markets revenue, which was already tracking above the guided range.</w:t>
      </w:r>
    </w:p>
    <w:p>
      <w:pPr>
        <w:pStyle w:val="ListBullet"/>
        <w:ind w:left="360" w:hanging="360"/>
      </w:pPr>
      <w:r>
        <w:rPr>
          <w:rFonts w:ascii="Calibri" w:hAnsi="Calibri"/>
          <w:b/>
          <w:color w:val="525866"/>
          <w:sz w:val="22"/>
        </w:rPr>
        <w:t>Wealth Management:</w:t>
      </w:r>
      <w:r>
        <w:rPr>
          <w:rFonts w:ascii="Calibri" w:hAnsi="Calibri"/>
          <w:color w:val="525866"/>
          <w:sz w:val="22"/>
        </w:rPr>
        <w:t xml:space="preserve"> BAC's wealth management revenues grew in Q2 2026, driven by higher AUM and advisory fees. This is a positive read-through for USB's trust and investment management fee revenue, which has been a consistent growth driver.</w:t>
      </w:r>
    </w:p>
    <w:p>
      <w:pPr>
        <w:pStyle w:val="ListBullet"/>
        <w:ind w:left="360" w:hanging="360"/>
      </w:pPr>
      <w:r>
        <w:rPr>
          <w:rFonts w:ascii="Calibri" w:hAnsi="Calibri"/>
          <w:b/>
          <w:color w:val="525866"/>
          <w:sz w:val="22"/>
        </w:rPr>
        <w:t>Consumer Deposit Stability:</w:t>
      </w:r>
      <w:r>
        <w:rPr>
          <w:rFonts w:ascii="Calibri" w:hAnsi="Calibri"/>
          <w:color w:val="525866"/>
          <w:sz w:val="22"/>
        </w:rPr>
        <w:t xml:space="preserve"> BAC reported stable consumer deposit balances and improving deposit mix in Q2 2026, consistent with USB's strategic focus on growing consumer deposits as a percentage of total deposits (now over 52%). BAC's experience suggests the consumer deposit franchise is holding up well despite the rate environment.</w:t>
      </w:r>
    </w:p>
    <w:p>
      <w:pPr>
        <w:pStyle w:val="ListBullet"/>
        <w:ind w:left="360" w:hanging="360"/>
      </w:pPr>
      <w:r>
        <w:rPr>
          <w:rFonts w:ascii="Calibri" w:hAnsi="Calibri"/>
          <w:b/>
          <w:color w:val="525866"/>
          <w:sz w:val="22"/>
        </w:rPr>
        <w:t>Credit Quality:</w:t>
      </w:r>
      <w:r>
        <w:rPr>
          <w:rFonts w:ascii="Calibri" w:hAnsi="Calibri"/>
          <w:color w:val="525866"/>
          <w:sz w:val="22"/>
        </w:rPr>
        <w:t xml:space="preserve"> BAC's credit quality metrics remained stable in Q2 2026, with NCO ratios in line with expectations. No material deterioration in consumer or commercial credit — a positive read-through for USB's stable NCO ratio guidance.</w:t>
      </w:r>
    </w:p>
    <w:p>
      <w:pPr>
        <w:pStyle w:val="Heading3"/>
      </w:pPr>
      <w:r>
        <w:rPr>
          <w:rFonts w:ascii="Calibri" w:hAnsi="Calibri"/>
          <w:b/>
          <w:color w:val="3B4259"/>
          <w:sz w:val="24"/>
        </w:rPr>
        <w:t>7.4 PNC Financial Services (PNC) — Q2 2026 Earnings (July 15, 2026)</w:t>
      </w:r>
    </w:p>
    <w:p>
      <w:r>
        <w:rPr>
          <w:rFonts w:ascii="Calibri" w:hAnsi="Calibri"/>
          <w:b/>
          <w:color w:val="525866"/>
          <w:sz w:val="22"/>
        </w:rPr>
        <w:t xml:space="preserve">Read-Through Relevance: </w:t>
      </w:r>
      <w:r>
        <w:rPr>
          <w:rFonts w:ascii="Calibri" w:hAnsi="Calibri"/>
          <w:color w:val="525866"/>
          <w:sz w:val="22"/>
        </w:rPr>
        <w:t>PNC is the most direct peer to USB among large regional banks, with a similar diversified model, Midwest/mid-Atlantic footprint, and focus on positive operating leverage. PNC's Q2 2026 results (reported today, July 15) are the most timely and relevant read-through.</w:t>
      </w:r>
    </w:p>
    <w:p>
      <w:pPr>
        <w:pStyle w:val="ListBullet"/>
        <w:ind w:left="360" w:hanging="360"/>
      </w:pPr>
      <w:r>
        <w:rPr>
          <w:rFonts w:ascii="Calibri" w:hAnsi="Calibri"/>
          <w:b/>
          <w:color w:val="525866"/>
          <w:sz w:val="22"/>
        </w:rPr>
        <w:t>NII &amp; NIM:</w:t>
      </w:r>
      <w:r>
        <w:rPr>
          <w:rFonts w:ascii="Calibri" w:hAnsi="Calibri"/>
          <w:color w:val="525866"/>
          <w:sz w:val="22"/>
        </w:rPr>
        <w:t xml:space="preserve"> PNC reported NII growth in Q2 2026, driven by loan growth and favorable deposit repricing. PNC's NIM trajectory is closely watched as a proxy for USB's own NIM expansion path. PNC's Morgan Stanley conference commentary (June 9, 2026) had flagged NII tracking in line with guidance, which proved accurate — a positive signal for USB's own NII tracking commentary.</w:t>
      </w:r>
    </w:p>
    <w:p>
      <w:pPr>
        <w:pStyle w:val="ListBullet"/>
        <w:ind w:left="360" w:hanging="360"/>
      </w:pPr>
      <w:r>
        <w:rPr>
          <w:rFonts w:ascii="Calibri" w:hAnsi="Calibri"/>
          <w:b/>
          <w:color w:val="525866"/>
          <w:sz w:val="22"/>
        </w:rPr>
        <w:t>Fee Revenue:</w:t>
      </w:r>
      <w:r>
        <w:rPr>
          <w:rFonts w:ascii="Calibri" w:hAnsi="Calibri"/>
          <w:color w:val="525866"/>
          <w:sz w:val="22"/>
        </w:rPr>
        <w:t xml:space="preserve"> PNC's fee revenue grew in Q2 2026, with capital markets and advisory fees as key contributors. PNC's management had highlighted at the Morgan Stanley conference that capital markets activity was strong, consistent with the broad-based capital markets acceleration that USB has also flagged.</w:t>
      </w:r>
    </w:p>
    <w:p>
      <w:pPr>
        <w:pStyle w:val="ListBullet"/>
        <w:ind w:left="360" w:hanging="360"/>
      </w:pPr>
      <w:r>
        <w:rPr>
          <w:rFonts w:ascii="Calibri" w:hAnsi="Calibri"/>
          <w:b/>
          <w:color w:val="525866"/>
          <w:sz w:val="22"/>
        </w:rPr>
        <w:t>Positive Operating Leverage:</w:t>
      </w:r>
      <w:r>
        <w:rPr>
          <w:rFonts w:ascii="Calibri" w:hAnsi="Calibri"/>
          <w:color w:val="525866"/>
          <w:sz w:val="22"/>
        </w:rPr>
        <w:t xml:space="preserve"> PNC delivered positive operating leverage in Q2 2026, consistent with its full-year commitment — a direct positive read-through for USB's own 200+ bps positive operating leverage target, which management has described as a 'floor' rather than a ceiling.</w:t>
      </w:r>
    </w:p>
    <w:p>
      <w:pPr>
        <w:pStyle w:val="ListBullet"/>
        <w:ind w:left="360" w:hanging="360"/>
      </w:pPr>
      <w:r>
        <w:rPr>
          <w:rFonts w:ascii="Calibri" w:hAnsi="Calibri"/>
          <w:b/>
          <w:color w:val="525866"/>
          <w:sz w:val="22"/>
        </w:rPr>
        <w:t>Loan Growth:</w:t>
      </w:r>
      <w:r>
        <w:rPr>
          <w:rFonts w:ascii="Calibri" w:hAnsi="Calibri"/>
          <w:color w:val="525866"/>
          <w:sz w:val="22"/>
        </w:rPr>
        <w:t xml:space="preserve"> PNC reported broad-based loan growth in Q2 2026, with C&amp;I and consumer segments both contributing. This is consistent with USB's mid-single-digit loan growth guidance and the strong commercial pipelines management cited.</w:t>
      </w:r>
    </w:p>
    <w:p>
      <w:pPr>
        <w:pStyle w:val="ListBullet"/>
        <w:ind w:left="360" w:hanging="360"/>
      </w:pPr>
      <w:r>
        <w:rPr>
          <w:rFonts w:ascii="Calibri" w:hAnsi="Calibri"/>
          <w:b/>
          <w:color w:val="525866"/>
          <w:sz w:val="22"/>
        </w:rPr>
        <w:t>Credit Quality:</w:t>
      </w:r>
      <w:r>
        <w:rPr>
          <w:rFonts w:ascii="Calibri" w:hAnsi="Calibri"/>
          <w:color w:val="525866"/>
          <w:sz w:val="22"/>
        </w:rPr>
        <w:t xml:space="preserve"> PNC's credit quality remained stable in Q2 2026, with NCO ratios in line with expectations. No material credit deterioration — a positive read-through for USB's stable NCO ratio.</w:t>
      </w:r>
    </w:p>
    <w:p>
      <w:pPr>
        <w:pStyle w:val="Heading3"/>
      </w:pPr>
      <w:r>
        <w:rPr>
          <w:rFonts w:ascii="Calibri" w:hAnsi="Calibri"/>
          <w:b/>
          <w:color w:val="3B4259"/>
          <w:sz w:val="24"/>
        </w:rPr>
        <w:t>7.5 M&amp;T Bank (MTB) — Q2 2026 Earnings (July 15, 2026)</w:t>
      </w:r>
    </w:p>
    <w:p>
      <w:r>
        <w:rPr>
          <w:rFonts w:ascii="Calibri" w:hAnsi="Calibri"/>
          <w:b/>
          <w:color w:val="525866"/>
          <w:sz w:val="22"/>
        </w:rPr>
        <w:t xml:space="preserve">Read-Through Relevance: </w:t>
      </w:r>
      <w:r>
        <w:rPr>
          <w:rFonts w:ascii="Calibri" w:hAnsi="Calibri"/>
          <w:color w:val="525866"/>
          <w:sz w:val="22"/>
        </w:rPr>
        <w:t>MTB is a high-quality regional bank peer with a similar focus on commercial banking, credit discipline, and NIM management. MTB's Q2 2026 results provide read-throughs on regional bank NIM dynamics and commercial credit quality.</w:t>
      </w:r>
    </w:p>
    <w:p>
      <w:pPr>
        <w:pStyle w:val="ListBullet"/>
        <w:ind w:left="360" w:hanging="360"/>
      </w:pPr>
      <w:r>
        <w:rPr>
          <w:rFonts w:ascii="Calibri" w:hAnsi="Calibri"/>
          <w:b/>
          <w:color w:val="525866"/>
          <w:sz w:val="22"/>
        </w:rPr>
        <w:t>NIM Dynamics:</w:t>
      </w:r>
      <w:r>
        <w:rPr>
          <w:rFonts w:ascii="Calibri" w:hAnsi="Calibri"/>
          <w:color w:val="525866"/>
          <w:sz w:val="22"/>
        </w:rPr>
        <w:t xml:space="preserve"> MTB's NIM trajectory in Q2 2026 provides a read-through for USB's own NIM expansion path. MTB's Barclays conference commentary (May 5, 2026) had flagged stable deposit pricing and ongoing fixed-rate asset repricing benefits — consistent with USB's guided sequential NIM expansion from 2.77%.</w:t>
      </w:r>
    </w:p>
    <w:p>
      <w:pPr>
        <w:pStyle w:val="ListBullet"/>
        <w:ind w:left="360" w:hanging="360"/>
      </w:pPr>
      <w:r>
        <w:rPr>
          <w:rFonts w:ascii="Calibri" w:hAnsi="Calibri"/>
          <w:b/>
          <w:color w:val="525866"/>
          <w:sz w:val="22"/>
        </w:rPr>
        <w:t>Commercial Loan Growth:</w:t>
      </w:r>
      <w:r>
        <w:rPr>
          <w:rFonts w:ascii="Calibri" w:hAnsi="Calibri"/>
          <w:color w:val="525866"/>
          <w:sz w:val="22"/>
        </w:rPr>
        <w:t xml:space="preserve"> MTB reported commercial loan growth in Q2 2026, with C&amp;I and commercial real estate both contributing. This is consistent with USB's strong commercial pipelines in large corporate, M&amp;A, and specialized industries.</w:t>
      </w:r>
    </w:p>
    <w:p>
      <w:pPr>
        <w:pStyle w:val="ListBullet"/>
        <w:ind w:left="360" w:hanging="360"/>
      </w:pPr>
      <w:r>
        <w:rPr>
          <w:rFonts w:ascii="Calibri" w:hAnsi="Calibri"/>
          <w:b/>
          <w:color w:val="525866"/>
          <w:sz w:val="22"/>
        </w:rPr>
        <w:t>Credit Quality:</w:t>
      </w:r>
      <w:r>
        <w:rPr>
          <w:rFonts w:ascii="Calibri" w:hAnsi="Calibri"/>
          <w:color w:val="525866"/>
          <w:sz w:val="22"/>
        </w:rPr>
        <w:t xml:space="preserve"> MTB's credit quality metrics remained stable in Q2 2026. MTB is known for conservative underwriting, and its stable NCO ratios are a positive read-through for USB's own credit quality guidance.</w:t>
      </w:r>
    </w:p>
    <w:p>
      <w:pPr>
        <w:pStyle w:val="ListBullet"/>
        <w:ind w:left="360" w:hanging="360"/>
      </w:pPr>
      <w:r>
        <w:rPr>
          <w:rFonts w:ascii="Calibri" w:hAnsi="Calibri"/>
          <w:b/>
          <w:color w:val="525866"/>
          <w:sz w:val="22"/>
        </w:rPr>
        <w:t>Expense Discipline:</w:t>
      </w:r>
      <w:r>
        <w:rPr>
          <w:rFonts w:ascii="Calibri" w:hAnsi="Calibri"/>
          <w:color w:val="525866"/>
          <w:sz w:val="22"/>
        </w:rPr>
        <w:t xml:space="preserve"> MTB delivered positive operating leverage in Q2 2026, consistent with its expense discipline focus. This is a positive read-through for USB's 200+ bps positive operating leverage commitment.</w:t>
      </w:r>
    </w:p>
    <w:p>
      <w:pPr>
        <w:pStyle w:val="Heading3"/>
      </w:pPr>
      <w:r>
        <w:rPr>
          <w:rFonts w:ascii="Calibri" w:hAnsi="Calibri"/>
          <w:b/>
          <w:color w:val="3B4259"/>
          <w:sz w:val="24"/>
        </w:rPr>
        <w:t>7.6 Conference Commentary Read-Throughs (April–June 2026)</w:t>
      </w:r>
    </w:p>
    <w:p>
      <w:r>
        <w:rPr>
          <w:rFonts w:ascii="Calibri" w:hAnsi="Calibri"/>
          <w:color w:val="525866"/>
          <w:sz w:val="22"/>
        </w:rPr>
        <w:t>The following commentary is from peer management teams at investor conferences between Q1 2026 earnings and Q2 2026 earnings. These are forward-looking signals about Q2 2026 trends, not Q1 2026 results commentary.</w:t>
      </w:r>
    </w:p>
    <w:p>
      <w:pPr>
        <w:pStyle w:val="Heading4"/>
      </w:pPr>
      <w:r>
        <w:rPr>
          <w:rFonts w:ascii="Calibri" w:hAnsi="Calibri"/>
          <w:b/>
          <w:color w:val="3B4259"/>
          <w:sz w:val="22"/>
        </w:rPr>
        <w:t>Regions Financial (RF) — Morgan Stanley U.S. Financials Conference (June 9, 2026)</w:t>
      </w:r>
    </w:p>
    <w:p>
      <w:pPr>
        <w:pStyle w:val="ListBullet"/>
        <w:ind w:left="360" w:hanging="360"/>
      </w:pPr>
      <w:r>
        <w:rPr>
          <w:rFonts w:ascii="Calibri" w:hAnsi="Calibri"/>
          <w:b/>
          <w:color w:val="525866"/>
          <w:sz w:val="22"/>
        </w:rPr>
        <w:t>NII Tracking:</w:t>
      </w:r>
      <w:r>
        <w:rPr>
          <w:rFonts w:ascii="Calibri" w:hAnsi="Calibri"/>
          <w:color w:val="525866"/>
          <w:sz w:val="22"/>
        </w:rPr>
        <w:t xml:space="preserve"> RF guided NII to be up 2% QoQ for Q2 2026 and confirmed this guidance 'looks to be intact' as of June 9. RF's NIM was 3.67% in Q1 2026, with management expecting NIM to be 'in the mid-[3.60s] in Q2 and grow into the balance of the year, exiting in the low 3.70s.' The stable NIM trajectory at RF is a positive read-through for USB's own NIM expansion path.</w:t>
      </w:r>
    </w:p>
    <w:p>
      <w:pPr>
        <w:pStyle w:val="ListBullet"/>
        <w:ind w:left="360" w:hanging="360"/>
      </w:pPr>
      <w:r>
        <w:rPr>
          <w:rFonts w:ascii="Calibri" w:hAnsi="Calibri"/>
          <w:b/>
          <w:color w:val="525866"/>
          <w:sz w:val="22"/>
        </w:rPr>
        <w:t>Loan Growth Momentum:</w:t>
      </w:r>
      <w:r>
        <w:rPr>
          <w:rFonts w:ascii="Calibri" w:hAnsi="Calibri"/>
          <w:color w:val="525866"/>
          <w:sz w:val="22"/>
        </w:rPr>
        <w:t xml:space="preserve"> RF reported 'nice growth in Q1' with line utilization stable and pipelines continuing to grow as of June 9. Growth was split between middle market commercial banking and corporate banking/specialized industries (energy, power and utilities, healthcare, asset-based lending, REITs). This is consistent with USB's strong commercial pipelines in similar sectors.</w:t>
      </w:r>
    </w:p>
    <w:p>
      <w:pPr>
        <w:pStyle w:val="ListBullet"/>
        <w:ind w:left="360" w:hanging="360"/>
      </w:pPr>
      <w:r>
        <w:rPr>
          <w:rFonts w:ascii="Calibri" w:hAnsi="Calibri"/>
          <w:b/>
          <w:color w:val="525866"/>
          <w:sz w:val="22"/>
        </w:rPr>
        <w:t>Loan Spread Tightening:</w:t>
      </w:r>
      <w:r>
        <w:rPr>
          <w:rFonts w:ascii="Calibri" w:hAnsi="Calibri"/>
          <w:color w:val="525866"/>
          <w:sz w:val="22"/>
        </w:rPr>
        <w:t xml:space="preserve"> RF acknowledged 'some loan spread tightening in Q1,' characterizing it as broad-based across markets and partly driven by mix shifts toward better credit quality but lower-yielding loans. RF expected credit spreads to 'remain tight probably for the next few months.' This is a potential modest headwind for USB's NIM, consistent with management's own commentary about tighter loan spreads.</w:t>
      </w:r>
    </w:p>
    <w:p>
      <w:pPr>
        <w:pStyle w:val="ListBullet"/>
        <w:ind w:left="360" w:hanging="360"/>
      </w:pPr>
      <w:r>
        <w:rPr>
          <w:rFonts w:ascii="Calibri" w:hAnsi="Calibri"/>
          <w:b/>
          <w:color w:val="525866"/>
          <w:sz w:val="22"/>
        </w:rPr>
        <w:t>Fee Revenue:</w:t>
      </w:r>
      <w:r>
        <w:rPr>
          <w:rFonts w:ascii="Calibri" w:hAnsi="Calibri"/>
          <w:color w:val="525866"/>
          <w:sz w:val="22"/>
        </w:rPr>
        <w:t xml:space="preserve"> RF's capital markets was expected to 'look more like Q1' in Q2 (pointing to the low end of the $90–105M range) due to elevated rates slowing real estate capital markets, but treasury management (+7–8% growth) and wealth management (+8–9% growth) were tracking well. The divergence between real estate capital markets (rate-sensitive) and other fee businesses is a nuanced read-through for USB, which has less real estate capital markets exposure.</w:t>
      </w:r>
    </w:p>
    <w:p>
      <w:pPr>
        <w:pStyle w:val="ListBullet"/>
        <w:ind w:left="360" w:hanging="360"/>
      </w:pPr>
      <w:r>
        <w:rPr>
          <w:rFonts w:ascii="Calibri" w:hAnsi="Calibri"/>
          <w:b/>
          <w:color w:val="525866"/>
          <w:sz w:val="22"/>
        </w:rPr>
        <w:t>Deposit Stability:</w:t>
      </w:r>
      <w:r>
        <w:rPr>
          <w:rFonts w:ascii="Calibri" w:hAnsi="Calibri"/>
          <w:color w:val="525866"/>
          <w:sz w:val="22"/>
        </w:rPr>
        <w:t xml:space="preserve"> RF maintained a 74% loan-to-deposit ratio with stable commercial and consumer deposit bases. The stable deposit environment is a positive read-through for USB's consumer deposit growth strategy.</w:t>
      </w:r>
    </w:p>
    <w:p>
      <w:pPr>
        <w:pStyle w:val="Heading4"/>
      </w:pPr>
      <w:r>
        <w:rPr>
          <w:rFonts w:ascii="Calibri" w:hAnsi="Calibri"/>
          <w:b/>
          <w:color w:val="3B4259"/>
          <w:sz w:val="22"/>
        </w:rPr>
        <w:t>KeyCorp (KEY) — Morgan Stanley U.S. Financials Conference (June 10, 2026)</w:t>
      </w:r>
    </w:p>
    <w:p>
      <w:pPr>
        <w:pStyle w:val="ListBullet"/>
        <w:ind w:left="360" w:hanging="360"/>
      </w:pPr>
      <w:r>
        <w:rPr>
          <w:rFonts w:ascii="Calibri" w:hAnsi="Calibri"/>
          <w:b/>
          <w:color w:val="525866"/>
          <w:sz w:val="22"/>
        </w:rPr>
        <w:t>NII &amp; NIM Outlook:</w:t>
      </w:r>
      <w:r>
        <w:rPr>
          <w:rFonts w:ascii="Calibri" w:hAnsi="Calibri"/>
          <w:color w:val="525866"/>
          <w:sz w:val="22"/>
        </w:rPr>
        <w:t xml:space="preserve"> KEY management provided forward-looking commentary on NII and NIM for Q2 2026 at the Morgan Stanley conference, flagging ongoing benefits from fixed-rate asset repricing and stable deposit pricing. KEY's NIM trajectory is a read-through for the broader regional bank NIM expansion theme that underpins USB's path to 3% NIM by 2027.</w:t>
      </w:r>
    </w:p>
    <w:p>
      <w:pPr>
        <w:pStyle w:val="ListBullet"/>
        <w:ind w:left="360" w:hanging="360"/>
      </w:pPr>
      <w:r>
        <w:rPr>
          <w:rFonts w:ascii="Calibri" w:hAnsi="Calibri"/>
          <w:b/>
          <w:color w:val="525866"/>
          <w:sz w:val="22"/>
        </w:rPr>
        <w:t>Capital Markets:</w:t>
      </w:r>
      <w:r>
        <w:rPr>
          <w:rFonts w:ascii="Calibri" w:hAnsi="Calibri"/>
          <w:color w:val="525866"/>
          <w:sz w:val="22"/>
        </w:rPr>
        <w:t xml:space="preserve"> KEY highlighted strong capital markets activity in Q2 2026, consistent with the broad-based capital markets acceleration flagged by USB and confirmed by the large-bank Q2 prints. KEY's investment banking pipelines were described as robust, a positive read-through for USB's capital markets revenue tracking above guidance.</w:t>
      </w:r>
    </w:p>
    <w:p>
      <w:pPr>
        <w:pStyle w:val="ListBullet"/>
        <w:ind w:left="360" w:hanging="360"/>
      </w:pPr>
      <w:r>
        <w:rPr>
          <w:rFonts w:ascii="Calibri" w:hAnsi="Calibri"/>
          <w:b/>
          <w:color w:val="525866"/>
          <w:sz w:val="22"/>
        </w:rPr>
        <w:t>Loan Growth:</w:t>
      </w:r>
      <w:r>
        <w:rPr>
          <w:rFonts w:ascii="Calibri" w:hAnsi="Calibri"/>
          <w:color w:val="525866"/>
          <w:sz w:val="22"/>
        </w:rPr>
        <w:t xml:space="preserve"> KEY noted improving commercial loan demand in Q2 2026, with C&amp;I growth driven by M&amp;A financing, CapEx, and specialized industries. This is consistent with USB's strong commercial pipelines and mid-single-digit loan growth guidance.</w:t>
      </w:r>
    </w:p>
    <w:p>
      <w:pPr>
        <w:pStyle w:val="ListBullet"/>
        <w:ind w:left="360" w:hanging="360"/>
      </w:pPr>
      <w:r>
        <w:rPr>
          <w:rFonts w:ascii="Calibri" w:hAnsi="Calibri"/>
          <w:b/>
          <w:color w:val="525866"/>
          <w:sz w:val="22"/>
        </w:rPr>
        <w:t>Expense Discipline:</w:t>
      </w:r>
      <w:r>
        <w:rPr>
          <w:rFonts w:ascii="Calibri" w:hAnsi="Calibri"/>
          <w:color w:val="525866"/>
          <w:sz w:val="22"/>
        </w:rPr>
        <w:t xml:space="preserve"> KEY reiterated its commitment to positive operating leverage in 2026, consistent with the sector-wide theme of revenue-driven operating leverage that USB has delivered for seven consecutive quarters.</w:t>
      </w:r>
    </w:p>
    <w:p>
      <w:pPr>
        <w:pStyle w:val="Heading4"/>
      </w:pPr>
      <w:r>
        <w:rPr>
          <w:rFonts w:ascii="Calibri" w:hAnsi="Calibri"/>
          <w:b/>
          <w:color w:val="3B4259"/>
          <w:sz w:val="22"/>
        </w:rPr>
        <w:t>Truist Financial (TFC) — Morgan Stanley U.S. Financials Conference (June 9, 2026) &amp; Bernstein Conference (May 28, 2026)</w:t>
      </w:r>
    </w:p>
    <w:p>
      <w:pPr>
        <w:pStyle w:val="ListBullet"/>
        <w:ind w:left="360" w:hanging="360"/>
      </w:pPr>
      <w:r>
        <w:rPr>
          <w:rFonts w:ascii="Calibri" w:hAnsi="Calibri"/>
          <w:b/>
          <w:color w:val="525866"/>
          <w:sz w:val="22"/>
        </w:rPr>
        <w:t>NII Tracking:</w:t>
      </w:r>
      <w:r>
        <w:rPr>
          <w:rFonts w:ascii="Calibri" w:hAnsi="Calibri"/>
          <w:color w:val="525866"/>
          <w:sz w:val="22"/>
        </w:rPr>
        <w:t xml:space="preserve"> TFC management confirmed at the Morgan Stanley conference that NII was tracking in line with Q2 2026 guidance, with fixed-rate asset repricing continuing to provide a tailwind. TFC's NIM expansion trajectory is a positive read-through for USB's own NIM path.</w:t>
      </w:r>
    </w:p>
    <w:p>
      <w:pPr>
        <w:pStyle w:val="ListBullet"/>
        <w:ind w:left="360" w:hanging="360"/>
      </w:pPr>
      <w:r>
        <w:rPr>
          <w:rFonts w:ascii="Calibri" w:hAnsi="Calibri"/>
          <w:b/>
          <w:color w:val="525866"/>
          <w:sz w:val="22"/>
        </w:rPr>
        <w:t>Fee Revenue:</w:t>
      </w:r>
      <w:r>
        <w:rPr>
          <w:rFonts w:ascii="Calibri" w:hAnsi="Calibri"/>
          <w:color w:val="525866"/>
          <w:sz w:val="22"/>
        </w:rPr>
        <w:t xml:space="preserve"> TFC highlighted strong investment banking and capital markets activity in Q2 2026, consistent with the broad-based capital markets acceleration. TFC's wealth management and insurance revenues were also tracking well, a positive read-through for USB's trust and investment management fee revenue.</w:t>
      </w:r>
    </w:p>
    <w:p>
      <w:pPr>
        <w:pStyle w:val="ListBullet"/>
        <w:ind w:left="360" w:hanging="360"/>
      </w:pPr>
      <w:r>
        <w:rPr>
          <w:rFonts w:ascii="Calibri" w:hAnsi="Calibri"/>
          <w:b/>
          <w:color w:val="525866"/>
          <w:sz w:val="22"/>
        </w:rPr>
        <w:t>Positive Operating Leverage:</w:t>
      </w:r>
      <w:r>
        <w:rPr>
          <w:rFonts w:ascii="Calibri" w:hAnsi="Calibri"/>
          <w:color w:val="525866"/>
          <w:sz w:val="22"/>
        </w:rPr>
        <w:t xml:space="preserve"> TFC reiterated its commitment to positive operating leverage in 2026, with revenue growth as the primary driver. This is consistent with USB's own 200+ bps positive operating leverage target.</w:t>
      </w:r>
    </w:p>
    <w:p>
      <w:pPr>
        <w:pStyle w:val="ListBullet"/>
        <w:ind w:left="360" w:hanging="360"/>
      </w:pPr>
      <w:r>
        <w:rPr>
          <w:rFonts w:ascii="Calibri" w:hAnsi="Calibri"/>
          <w:b/>
          <w:color w:val="525866"/>
          <w:sz w:val="22"/>
        </w:rPr>
        <w:t>Credit Quality:</w:t>
      </w:r>
      <w:r>
        <w:rPr>
          <w:rFonts w:ascii="Calibri" w:hAnsi="Calibri"/>
          <w:color w:val="525866"/>
          <w:sz w:val="22"/>
        </w:rPr>
        <w:t xml:space="preserve"> TFC's credit quality metrics were stable in Q2 2026, with no material deterioration in NCO ratios. A positive read-through for USB's stable credit quality guidance.</w:t>
      </w:r>
    </w:p>
    <w:p>
      <w:pPr>
        <w:pStyle w:val="Heading4"/>
      </w:pPr>
      <w:r>
        <w:rPr>
          <w:rFonts w:ascii="Calibri" w:hAnsi="Calibri"/>
          <w:b/>
          <w:color w:val="3B4259"/>
          <w:sz w:val="22"/>
        </w:rPr>
        <w:t>Fifth Third Bancorp (FITB) — Morgan Stanley U.S. Financials Conference (June 10, 2026)</w:t>
      </w:r>
    </w:p>
    <w:p>
      <w:pPr>
        <w:pStyle w:val="ListBullet"/>
        <w:ind w:left="360" w:hanging="360"/>
      </w:pPr>
      <w:r>
        <w:rPr>
          <w:rFonts w:ascii="Calibri" w:hAnsi="Calibri"/>
          <w:b/>
          <w:color w:val="525866"/>
          <w:sz w:val="22"/>
        </w:rPr>
        <w:t>NII &amp; Deposit Trends:</w:t>
      </w:r>
      <w:r>
        <w:rPr>
          <w:rFonts w:ascii="Calibri" w:hAnsi="Calibri"/>
          <w:color w:val="525866"/>
          <w:sz w:val="22"/>
        </w:rPr>
        <w:t xml:space="preserve"> FITB management provided constructive commentary on NII and deposit trends for Q2 2026 at the Morgan Stanley conference, flagging stable deposit pricing and ongoing fixed-rate asset repricing benefits. FITB's consumer deposit franchise is a read-through for USB's own consumer deposit growth strategy.</w:t>
      </w:r>
    </w:p>
    <w:p>
      <w:pPr>
        <w:pStyle w:val="ListBullet"/>
        <w:ind w:left="360" w:hanging="360"/>
      </w:pPr>
      <w:r>
        <w:rPr>
          <w:rFonts w:ascii="Calibri" w:hAnsi="Calibri"/>
          <w:b/>
          <w:color w:val="525866"/>
          <w:sz w:val="22"/>
        </w:rPr>
        <w:t>Fee Revenue:</w:t>
      </w:r>
      <w:r>
        <w:rPr>
          <w:rFonts w:ascii="Calibri" w:hAnsi="Calibri"/>
          <w:color w:val="525866"/>
          <w:sz w:val="22"/>
        </w:rPr>
        <w:t xml:space="preserve"> FITB highlighted strong capital markets and payments fee revenue in Q2 2026, consistent with the broad-based fee revenue acceleration. FITB's payments business is a read-through for USB's payments franchise, which is a key differentiator.</w:t>
      </w:r>
    </w:p>
    <w:p>
      <w:pPr>
        <w:pStyle w:val="ListBullet"/>
        <w:ind w:left="360" w:hanging="360"/>
      </w:pPr>
      <w:r>
        <w:rPr>
          <w:rFonts w:ascii="Calibri" w:hAnsi="Calibri"/>
          <w:b/>
          <w:color w:val="525866"/>
          <w:sz w:val="22"/>
        </w:rPr>
        <w:t>Loan Growth:</w:t>
      </w:r>
      <w:r>
        <w:rPr>
          <w:rFonts w:ascii="Calibri" w:hAnsi="Calibri"/>
          <w:color w:val="525866"/>
          <w:sz w:val="22"/>
        </w:rPr>
        <w:t xml:space="preserve"> FITB noted improving commercial loan demand in Q2 2026, with C&amp;I growth driven by middle market and corporate banking. Consistent with USB's strong commercial pipelines.</w:t>
      </w:r>
    </w:p>
    <w:p>
      <w:pPr>
        <w:pStyle w:val="Heading3"/>
      </w:pPr>
      <w:r>
        <w:rPr>
          <w:rFonts w:ascii="Calibri" w:hAnsi="Calibri"/>
          <w:b/>
          <w:color w:val="3B4259"/>
          <w:sz w:val="24"/>
        </w:rPr>
        <w:t>7.7 Peer Read-Through Summary Table</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Peer</w:t>
            </w:r>
          </w:p>
        </w:tc>
        <w:tc>
          <w:tcPr>
            <w:tcW w:type="dxa" w:w="1234"/>
            <w:shd w:val="clear" w:color="auto" w:fill="3B4259"/>
          </w:tcPr>
          <w:p>
            <w:r>
              <w:rPr>
                <w:rFonts w:ascii="Calibri" w:hAnsi="Calibri"/>
                <w:b/>
                <w:color w:val="FFFFFF"/>
                <w:sz w:val="22"/>
              </w:rPr>
              <w:t>Source</w:t>
            </w:r>
          </w:p>
        </w:tc>
        <w:tc>
          <w:tcPr>
            <w:tcW w:type="dxa" w:w="1234"/>
            <w:shd w:val="clear" w:color="auto" w:fill="3B4259"/>
          </w:tcPr>
          <w:p>
            <w:r>
              <w:rPr>
                <w:rFonts w:ascii="Calibri" w:hAnsi="Calibri"/>
                <w:b/>
                <w:color w:val="FFFFFF"/>
                <w:sz w:val="22"/>
              </w:rPr>
              <w:t>NII / NIM</w:t>
            </w:r>
          </w:p>
        </w:tc>
        <w:tc>
          <w:tcPr>
            <w:tcW w:type="dxa" w:w="1234"/>
            <w:shd w:val="clear" w:color="auto" w:fill="3B4259"/>
          </w:tcPr>
          <w:p>
            <w:r>
              <w:rPr>
                <w:rFonts w:ascii="Calibri" w:hAnsi="Calibri"/>
                <w:b/>
                <w:color w:val="FFFFFF"/>
                <w:sz w:val="22"/>
              </w:rPr>
              <w:t>Fee Revenue / Cap Mkts</w:t>
            </w:r>
          </w:p>
        </w:tc>
        <w:tc>
          <w:tcPr>
            <w:tcW w:type="dxa" w:w="1234"/>
            <w:shd w:val="clear" w:color="auto" w:fill="3B4259"/>
          </w:tcPr>
          <w:p>
            <w:r>
              <w:rPr>
                <w:rFonts w:ascii="Calibri" w:hAnsi="Calibri"/>
                <w:b/>
                <w:color w:val="FFFFFF"/>
                <w:sz w:val="22"/>
              </w:rPr>
              <w:t>Loan Growth</w:t>
            </w:r>
          </w:p>
        </w:tc>
        <w:tc>
          <w:tcPr>
            <w:tcW w:type="dxa" w:w="1234"/>
            <w:shd w:val="clear" w:color="auto" w:fill="3B4259"/>
          </w:tcPr>
          <w:p>
            <w:r>
              <w:rPr>
                <w:rFonts w:ascii="Calibri" w:hAnsi="Calibri"/>
                <w:b/>
                <w:color w:val="FFFFFF"/>
                <w:sz w:val="22"/>
              </w:rPr>
              <w:t>Credit Quality</w:t>
            </w:r>
          </w:p>
        </w:tc>
        <w:tc>
          <w:tcPr>
            <w:tcW w:type="dxa" w:w="1234"/>
            <w:shd w:val="clear" w:color="auto" w:fill="3B4259"/>
          </w:tcPr>
          <w:p>
            <w:r>
              <w:rPr>
                <w:rFonts w:ascii="Calibri" w:hAnsi="Calibri"/>
                <w:b/>
                <w:color w:val="FFFFFF"/>
                <w:sz w:val="22"/>
              </w:rPr>
              <w:t>Overall Read-Through</w:t>
            </w:r>
          </w:p>
        </w:tc>
      </w:tr>
      <w:tr>
        <w:tc>
          <w:tcPr>
            <w:tcW w:type="dxa" w:w="1234"/>
          </w:tcPr>
          <w:p>
            <w:r>
              <w:rPr>
                <w:rFonts w:ascii="Calibri" w:hAnsi="Calibri"/>
                <w:sz w:val="22"/>
              </w:rPr>
              <w:t>JPM</w:t>
            </w:r>
          </w:p>
        </w:tc>
        <w:tc>
          <w:tcPr>
            <w:tcW w:type="dxa" w:w="1234"/>
          </w:tcPr>
          <w:p>
            <w:r>
              <w:rPr>
                <w:rFonts w:ascii="Calibri" w:hAnsi="Calibri"/>
                <w:sz w:val="22"/>
              </w:rPr>
              <w:t>Q2 2026 Earnings (Jul 14)</w:t>
            </w:r>
          </w:p>
        </w:tc>
        <w:tc>
          <w:tcPr>
            <w:tcW w:type="dxa" w:w="1234"/>
          </w:tcPr>
          <w:p>
            <w:r>
              <w:rPr>
                <w:rFonts w:ascii="Calibri" w:hAnsi="Calibri"/>
                <w:b/>
                <w:color w:val="30A46C"/>
                <w:sz w:val="22"/>
              </w:rPr>
              <w:t>↑ Positive</w:t>
            </w:r>
          </w:p>
        </w:tc>
        <w:tc>
          <w:tcPr>
            <w:tcW w:type="dxa" w:w="1234"/>
          </w:tcPr>
          <w:p>
            <w:r>
              <w:rPr>
                <w:rFonts w:ascii="Calibri" w:hAnsi="Calibri"/>
                <w:b/>
                <w:color w:val="30A46C"/>
                <w:sz w:val="22"/>
              </w:rPr>
              <w:t>↑↑ Strong</w:t>
            </w:r>
          </w:p>
        </w:tc>
        <w:tc>
          <w:tcPr>
            <w:tcW w:type="dxa" w:w="1234"/>
          </w:tcPr>
          <w:p>
            <w:r>
              <w:rPr>
                <w:rFonts w:ascii="Calibri" w:hAnsi="Calibri"/>
                <w:b/>
                <w:color w:val="30A46C"/>
                <w:sz w:val="22"/>
              </w:rPr>
              <w:t>↑ Positive</w:t>
            </w:r>
          </w:p>
        </w:tc>
        <w:tc>
          <w:tcPr>
            <w:tcW w:type="dxa" w:w="1234"/>
          </w:tcPr>
          <w:p>
            <w:r>
              <w:rPr>
                <w:rFonts w:ascii="Calibri" w:hAnsi="Calibri"/>
                <w:b/>
                <w:color w:val="30A46C"/>
                <w:sz w:val="22"/>
              </w:rPr>
              <w:t>→ Stable</w:t>
            </w:r>
          </w:p>
        </w:tc>
        <w:tc>
          <w:tcPr>
            <w:tcW w:type="dxa" w:w="1234"/>
          </w:tcPr>
          <w:p>
            <w:r>
              <w:rPr>
                <w:rFonts w:ascii="Calibri" w:hAnsi="Calibri"/>
                <w:b/>
                <w:color w:val="30A46C"/>
                <w:sz w:val="22"/>
              </w:rPr>
              <w:t>↑ Positive</w:t>
            </w:r>
          </w:p>
        </w:tc>
      </w:tr>
      <w:tr>
        <w:tc>
          <w:tcPr>
            <w:tcW w:type="dxa" w:w="1234"/>
          </w:tcPr>
          <w:p>
            <w:r>
              <w:rPr>
                <w:rFonts w:ascii="Calibri" w:hAnsi="Calibri"/>
                <w:sz w:val="22"/>
              </w:rPr>
              <w:t>WFC</w:t>
            </w:r>
          </w:p>
        </w:tc>
        <w:tc>
          <w:tcPr>
            <w:tcW w:type="dxa" w:w="1234"/>
          </w:tcPr>
          <w:p>
            <w:r>
              <w:rPr>
                <w:rFonts w:ascii="Calibri" w:hAnsi="Calibri"/>
                <w:sz w:val="22"/>
              </w:rPr>
              <w:t>Q2 2026 Earnings (Jul 14)</w:t>
            </w:r>
          </w:p>
        </w:tc>
        <w:tc>
          <w:tcPr>
            <w:tcW w:type="dxa" w:w="1234"/>
          </w:tcPr>
          <w:p>
            <w:r>
              <w:rPr>
                <w:rFonts w:ascii="Calibri" w:hAnsi="Calibri"/>
                <w:b/>
                <w:color w:val="30A46C"/>
                <w:sz w:val="22"/>
              </w:rPr>
              <w:t>↑ +5% YoY NII</w:t>
            </w:r>
          </w:p>
        </w:tc>
        <w:tc>
          <w:tcPr>
            <w:tcW w:type="dxa" w:w="1234"/>
          </w:tcPr>
          <w:p>
            <w:r>
              <w:rPr>
                <w:rFonts w:ascii="Calibri" w:hAnsi="Calibri"/>
                <w:b/>
                <w:color w:val="30A46C"/>
                <w:sz w:val="22"/>
              </w:rPr>
              <w:t>↑↑ +13% YoY; IB record</w:t>
            </w:r>
          </w:p>
        </w:tc>
        <w:tc>
          <w:tcPr>
            <w:tcW w:type="dxa" w:w="1234"/>
          </w:tcPr>
          <w:p>
            <w:r>
              <w:rPr>
                <w:rFonts w:ascii="Calibri" w:hAnsi="Calibri"/>
                <w:b/>
                <w:color w:val="30A46C"/>
                <w:sz w:val="22"/>
              </w:rPr>
              <w:t>↑↑ +12% YoY; upgraded outlook</w:t>
            </w:r>
          </w:p>
        </w:tc>
        <w:tc>
          <w:tcPr>
            <w:tcW w:type="dxa" w:w="1234"/>
          </w:tcPr>
          <w:p>
            <w:r>
              <w:rPr>
                <w:rFonts w:ascii="Calibri" w:hAnsi="Calibri"/>
                <w:b/>
                <w:color w:val="30A46C"/>
                <w:sz w:val="22"/>
              </w:rPr>
              <w:t>→ Stable</w:t>
            </w:r>
          </w:p>
        </w:tc>
        <w:tc>
          <w:tcPr>
            <w:tcW w:type="dxa" w:w="1234"/>
          </w:tcPr>
          <w:p>
            <w:r>
              <w:rPr>
                <w:rFonts w:ascii="Calibri" w:hAnsi="Calibri"/>
                <w:b/>
                <w:color w:val="30A46C"/>
                <w:sz w:val="22"/>
              </w:rPr>
              <w:t>↑↑ Strong Positive</w:t>
            </w:r>
          </w:p>
        </w:tc>
      </w:tr>
      <w:tr>
        <w:tc>
          <w:tcPr>
            <w:tcW w:type="dxa" w:w="1234"/>
          </w:tcPr>
          <w:p>
            <w:r>
              <w:rPr>
                <w:rFonts w:ascii="Calibri" w:hAnsi="Calibri"/>
                <w:sz w:val="22"/>
              </w:rPr>
              <w:t>BAC</w:t>
            </w:r>
          </w:p>
        </w:tc>
        <w:tc>
          <w:tcPr>
            <w:tcW w:type="dxa" w:w="1234"/>
          </w:tcPr>
          <w:p>
            <w:r>
              <w:rPr>
                <w:rFonts w:ascii="Calibri" w:hAnsi="Calibri"/>
                <w:sz w:val="22"/>
              </w:rPr>
              <w:t>Q2 2026 Earnings (Jul 14)</w:t>
            </w:r>
          </w:p>
        </w:tc>
        <w:tc>
          <w:tcPr>
            <w:tcW w:type="dxa" w:w="1234"/>
          </w:tcPr>
          <w:p>
            <w:r>
              <w:rPr>
                <w:rFonts w:ascii="Calibri" w:hAnsi="Calibri"/>
                <w:b/>
                <w:color w:val="30A46C"/>
                <w:sz w:val="22"/>
              </w:rPr>
              <w:t>↑ Positive</w:t>
            </w:r>
          </w:p>
        </w:tc>
        <w:tc>
          <w:tcPr>
            <w:tcW w:type="dxa" w:w="1234"/>
          </w:tcPr>
          <w:p>
            <w:r>
              <w:rPr>
                <w:rFonts w:ascii="Calibri" w:hAnsi="Calibri"/>
                <w:b/>
                <w:color w:val="30A46C"/>
                <w:sz w:val="22"/>
              </w:rPr>
              <w:t>↑ Strong cap mkts</w:t>
            </w:r>
          </w:p>
        </w:tc>
        <w:tc>
          <w:tcPr>
            <w:tcW w:type="dxa" w:w="1234"/>
          </w:tcPr>
          <w:p>
            <w:r>
              <w:rPr>
                <w:rFonts w:ascii="Calibri" w:hAnsi="Calibri"/>
                <w:b/>
                <w:color w:val="30A46C"/>
                <w:sz w:val="22"/>
              </w:rPr>
              <w:t>↑ Positive</w:t>
            </w:r>
          </w:p>
        </w:tc>
        <w:tc>
          <w:tcPr>
            <w:tcW w:type="dxa" w:w="1234"/>
          </w:tcPr>
          <w:p>
            <w:r>
              <w:rPr>
                <w:rFonts w:ascii="Calibri" w:hAnsi="Calibri"/>
                <w:b/>
                <w:color w:val="30A46C"/>
                <w:sz w:val="22"/>
              </w:rPr>
              <w:t>→ Stable</w:t>
            </w:r>
          </w:p>
        </w:tc>
        <w:tc>
          <w:tcPr>
            <w:tcW w:type="dxa" w:w="1234"/>
          </w:tcPr>
          <w:p>
            <w:r>
              <w:rPr>
                <w:rFonts w:ascii="Calibri" w:hAnsi="Calibri"/>
                <w:b/>
                <w:color w:val="30A46C"/>
                <w:sz w:val="22"/>
              </w:rPr>
              <w:t>↑ Positive</w:t>
            </w:r>
          </w:p>
        </w:tc>
      </w:tr>
      <w:tr>
        <w:tc>
          <w:tcPr>
            <w:tcW w:type="dxa" w:w="1234"/>
          </w:tcPr>
          <w:p>
            <w:r>
              <w:rPr>
                <w:rFonts w:ascii="Calibri" w:hAnsi="Calibri"/>
                <w:sz w:val="22"/>
              </w:rPr>
              <w:t>PNC</w:t>
            </w:r>
          </w:p>
        </w:tc>
        <w:tc>
          <w:tcPr>
            <w:tcW w:type="dxa" w:w="1234"/>
          </w:tcPr>
          <w:p>
            <w:r>
              <w:rPr>
                <w:rFonts w:ascii="Calibri" w:hAnsi="Calibri"/>
                <w:sz w:val="22"/>
              </w:rPr>
              <w:t>Q2 2026 Earnings (Jul 15)</w:t>
            </w:r>
          </w:p>
        </w:tc>
        <w:tc>
          <w:tcPr>
            <w:tcW w:type="dxa" w:w="1234"/>
          </w:tcPr>
          <w:p>
            <w:r>
              <w:rPr>
                <w:rFonts w:ascii="Calibri" w:hAnsi="Calibri"/>
                <w:b/>
                <w:color w:val="30A46C"/>
                <w:sz w:val="22"/>
              </w:rPr>
              <w:t>↑ Positive</w:t>
            </w:r>
          </w:p>
        </w:tc>
        <w:tc>
          <w:tcPr>
            <w:tcW w:type="dxa" w:w="1234"/>
          </w:tcPr>
          <w:p>
            <w:r>
              <w:rPr>
                <w:rFonts w:ascii="Calibri" w:hAnsi="Calibri"/>
                <w:b/>
                <w:color w:val="30A46C"/>
                <w:sz w:val="22"/>
              </w:rPr>
              <w:t>↑ Cap mkts strong</w:t>
            </w:r>
          </w:p>
        </w:tc>
        <w:tc>
          <w:tcPr>
            <w:tcW w:type="dxa" w:w="1234"/>
          </w:tcPr>
          <w:p>
            <w:r>
              <w:rPr>
                <w:rFonts w:ascii="Calibri" w:hAnsi="Calibri"/>
                <w:b/>
                <w:color w:val="30A46C"/>
                <w:sz w:val="22"/>
              </w:rPr>
              <w:t>↑ Positive</w:t>
            </w:r>
          </w:p>
        </w:tc>
        <w:tc>
          <w:tcPr>
            <w:tcW w:type="dxa" w:w="1234"/>
          </w:tcPr>
          <w:p>
            <w:r>
              <w:rPr>
                <w:rFonts w:ascii="Calibri" w:hAnsi="Calibri"/>
                <w:b/>
                <w:color w:val="30A46C"/>
                <w:sz w:val="22"/>
              </w:rPr>
              <w:t>→ Stable</w:t>
            </w:r>
          </w:p>
        </w:tc>
        <w:tc>
          <w:tcPr>
            <w:tcW w:type="dxa" w:w="1234"/>
          </w:tcPr>
          <w:p>
            <w:r>
              <w:rPr>
                <w:rFonts w:ascii="Calibri" w:hAnsi="Calibri"/>
                <w:b/>
                <w:color w:val="30A46C"/>
                <w:sz w:val="22"/>
              </w:rPr>
              <w:t>↑ Positive</w:t>
            </w:r>
          </w:p>
        </w:tc>
      </w:tr>
      <w:tr>
        <w:tc>
          <w:tcPr>
            <w:tcW w:type="dxa" w:w="1234"/>
          </w:tcPr>
          <w:p>
            <w:r>
              <w:rPr>
                <w:rFonts w:ascii="Calibri" w:hAnsi="Calibri"/>
                <w:sz w:val="22"/>
              </w:rPr>
              <w:t>MTB</w:t>
            </w:r>
          </w:p>
        </w:tc>
        <w:tc>
          <w:tcPr>
            <w:tcW w:type="dxa" w:w="1234"/>
          </w:tcPr>
          <w:p>
            <w:r>
              <w:rPr>
                <w:rFonts w:ascii="Calibri" w:hAnsi="Calibri"/>
                <w:sz w:val="22"/>
              </w:rPr>
              <w:t>Q2 2026 Earnings (Jul 15)</w:t>
            </w:r>
          </w:p>
        </w:tc>
        <w:tc>
          <w:tcPr>
            <w:tcW w:type="dxa" w:w="1234"/>
          </w:tcPr>
          <w:p>
            <w:r>
              <w:rPr>
                <w:rFonts w:ascii="Calibri" w:hAnsi="Calibri"/>
                <w:b/>
                <w:color w:val="30A46C"/>
                <w:sz w:val="22"/>
              </w:rPr>
              <w:t>↑ NIM expanding</w:t>
            </w:r>
          </w:p>
        </w:tc>
        <w:tc>
          <w:tcPr>
            <w:tcW w:type="dxa" w:w="1234"/>
          </w:tcPr>
          <w:p>
            <w:r>
              <w:rPr>
                <w:rFonts w:ascii="Calibri" w:hAnsi="Calibri"/>
                <w:b/>
                <w:color w:val="30A46C"/>
                <w:sz w:val="22"/>
              </w:rPr>
              <w:t>→ Moderate</w:t>
            </w:r>
          </w:p>
        </w:tc>
        <w:tc>
          <w:tcPr>
            <w:tcW w:type="dxa" w:w="1234"/>
          </w:tcPr>
          <w:p>
            <w:r>
              <w:rPr>
                <w:rFonts w:ascii="Calibri" w:hAnsi="Calibri"/>
                <w:b/>
                <w:color w:val="30A46C"/>
                <w:sz w:val="22"/>
              </w:rPr>
              <w:t>↑ C&amp;I growth</w:t>
            </w:r>
          </w:p>
        </w:tc>
        <w:tc>
          <w:tcPr>
            <w:tcW w:type="dxa" w:w="1234"/>
          </w:tcPr>
          <w:p>
            <w:r>
              <w:rPr>
                <w:rFonts w:ascii="Calibri" w:hAnsi="Calibri"/>
                <w:b/>
                <w:color w:val="30A46C"/>
                <w:sz w:val="22"/>
              </w:rPr>
              <w:t>→ Stable</w:t>
            </w:r>
          </w:p>
        </w:tc>
        <w:tc>
          <w:tcPr>
            <w:tcW w:type="dxa" w:w="1234"/>
          </w:tcPr>
          <w:p>
            <w:r>
              <w:rPr>
                <w:rFonts w:ascii="Calibri" w:hAnsi="Calibri"/>
                <w:b/>
                <w:color w:val="30A46C"/>
                <w:sz w:val="22"/>
              </w:rPr>
              <w:t>↑ Positive</w:t>
            </w:r>
          </w:p>
        </w:tc>
      </w:tr>
      <w:tr>
        <w:tc>
          <w:tcPr>
            <w:tcW w:type="dxa" w:w="1234"/>
          </w:tcPr>
          <w:p>
            <w:r>
              <w:rPr>
                <w:rFonts w:ascii="Calibri" w:hAnsi="Calibri"/>
                <w:sz w:val="22"/>
              </w:rPr>
              <w:t>RF</w:t>
            </w:r>
          </w:p>
        </w:tc>
        <w:tc>
          <w:tcPr>
            <w:tcW w:type="dxa" w:w="1234"/>
          </w:tcPr>
          <w:p>
            <w:r>
              <w:rPr>
                <w:rFonts w:ascii="Calibri" w:hAnsi="Calibri"/>
                <w:sz w:val="22"/>
              </w:rPr>
              <w:t>MS Conference (Jun 9)</w:t>
            </w:r>
          </w:p>
        </w:tc>
        <w:tc>
          <w:tcPr>
            <w:tcW w:type="dxa" w:w="1234"/>
          </w:tcPr>
          <w:p>
            <w:r>
              <w:rPr>
                <w:rFonts w:ascii="Calibri" w:hAnsi="Calibri"/>
                <w:b/>
                <w:color w:val="30A46C"/>
                <w:sz w:val="22"/>
              </w:rPr>
              <w:t>↑ NII intact; NIM expanding</w:t>
            </w:r>
          </w:p>
        </w:tc>
        <w:tc>
          <w:tcPr>
            <w:tcW w:type="dxa" w:w="1234"/>
          </w:tcPr>
          <w:p>
            <w:r>
              <w:rPr>
                <w:rFonts w:ascii="Calibri" w:hAnsi="Calibri"/>
                <w:b/>
                <w:color w:val="30A46C"/>
                <w:sz w:val="22"/>
              </w:rPr>
              <w:t>→ Cap mkts at low end; TM/WM strong</w:t>
            </w:r>
          </w:p>
        </w:tc>
        <w:tc>
          <w:tcPr>
            <w:tcW w:type="dxa" w:w="1234"/>
          </w:tcPr>
          <w:p>
            <w:r>
              <w:rPr>
                <w:rFonts w:ascii="Calibri" w:hAnsi="Calibri"/>
                <w:b/>
                <w:color w:val="30A46C"/>
                <w:sz w:val="22"/>
              </w:rPr>
              <w:t>↑ Pipelines growing</w:t>
            </w:r>
          </w:p>
        </w:tc>
        <w:tc>
          <w:tcPr>
            <w:tcW w:type="dxa" w:w="1234"/>
          </w:tcPr>
          <w:p>
            <w:r>
              <w:rPr>
                <w:rFonts w:ascii="Calibri" w:hAnsi="Calibri"/>
                <w:sz w:val="22"/>
              </w:rPr>
              <w:t>→ Stable</w:t>
            </w:r>
          </w:p>
        </w:tc>
        <w:tc>
          <w:tcPr>
            <w:tcW w:type="dxa" w:w="1234"/>
          </w:tcPr>
          <w:p>
            <w:r>
              <w:rPr>
                <w:rFonts w:ascii="Calibri" w:hAnsi="Calibri"/>
                <w:b/>
                <w:color w:val="30A46C"/>
                <w:sz w:val="22"/>
              </w:rPr>
              <w:t>↑ Broadly Positive</w:t>
            </w:r>
          </w:p>
        </w:tc>
      </w:tr>
      <w:tr>
        <w:tc>
          <w:tcPr>
            <w:tcW w:type="dxa" w:w="1234"/>
          </w:tcPr>
          <w:p>
            <w:r>
              <w:rPr>
                <w:rFonts w:ascii="Calibri" w:hAnsi="Calibri"/>
                <w:sz w:val="22"/>
              </w:rPr>
              <w:t>KEY</w:t>
            </w:r>
          </w:p>
        </w:tc>
        <w:tc>
          <w:tcPr>
            <w:tcW w:type="dxa" w:w="1234"/>
          </w:tcPr>
          <w:p>
            <w:r>
              <w:rPr>
                <w:rFonts w:ascii="Calibri" w:hAnsi="Calibri"/>
                <w:sz w:val="22"/>
              </w:rPr>
              <w:t>MS Conference (Jun 10)</w:t>
            </w:r>
          </w:p>
        </w:tc>
        <w:tc>
          <w:tcPr>
            <w:tcW w:type="dxa" w:w="1234"/>
          </w:tcPr>
          <w:p>
            <w:r>
              <w:rPr>
                <w:rFonts w:ascii="Calibri" w:hAnsi="Calibri"/>
                <w:b/>
                <w:color w:val="30A46C"/>
                <w:sz w:val="22"/>
              </w:rPr>
              <w:t>↑ Repricing tailwind</w:t>
            </w:r>
          </w:p>
        </w:tc>
        <w:tc>
          <w:tcPr>
            <w:tcW w:type="dxa" w:w="1234"/>
          </w:tcPr>
          <w:p>
            <w:r>
              <w:rPr>
                <w:rFonts w:ascii="Calibri" w:hAnsi="Calibri"/>
                <w:b/>
                <w:color w:val="30A46C"/>
                <w:sz w:val="22"/>
              </w:rPr>
              <w:t>↑ IB pipelines robust</w:t>
            </w:r>
          </w:p>
        </w:tc>
        <w:tc>
          <w:tcPr>
            <w:tcW w:type="dxa" w:w="1234"/>
          </w:tcPr>
          <w:p>
            <w:r>
              <w:rPr>
                <w:rFonts w:ascii="Calibri" w:hAnsi="Calibri"/>
                <w:b/>
                <w:color w:val="30A46C"/>
                <w:sz w:val="22"/>
              </w:rPr>
              <w:t>↑ C&amp;I improving</w:t>
            </w:r>
          </w:p>
        </w:tc>
        <w:tc>
          <w:tcPr>
            <w:tcW w:type="dxa" w:w="1234"/>
          </w:tcPr>
          <w:p>
            <w:r>
              <w:rPr>
                <w:rFonts w:ascii="Calibri" w:hAnsi="Calibri"/>
                <w:sz w:val="22"/>
              </w:rPr>
              <w:t>→ Stable</w:t>
            </w:r>
          </w:p>
        </w:tc>
        <w:tc>
          <w:tcPr>
            <w:tcW w:type="dxa" w:w="1234"/>
          </w:tcPr>
          <w:p>
            <w:r>
              <w:rPr>
                <w:rFonts w:ascii="Calibri" w:hAnsi="Calibri"/>
                <w:b/>
                <w:color w:val="30A46C"/>
                <w:sz w:val="22"/>
              </w:rPr>
              <w:t>↑ Positive</w:t>
            </w:r>
          </w:p>
        </w:tc>
      </w:tr>
      <w:tr>
        <w:tc>
          <w:tcPr>
            <w:tcW w:type="dxa" w:w="1234"/>
          </w:tcPr>
          <w:p>
            <w:r>
              <w:rPr>
                <w:rFonts w:ascii="Calibri" w:hAnsi="Calibri"/>
                <w:sz w:val="22"/>
              </w:rPr>
              <w:t>TFC</w:t>
            </w:r>
          </w:p>
        </w:tc>
        <w:tc>
          <w:tcPr>
            <w:tcW w:type="dxa" w:w="1234"/>
          </w:tcPr>
          <w:p>
            <w:r>
              <w:rPr>
                <w:rFonts w:ascii="Calibri" w:hAnsi="Calibri"/>
                <w:sz w:val="22"/>
              </w:rPr>
              <w:t>MS Conference (Jun 9) + Bernstein (May 28)</w:t>
            </w:r>
          </w:p>
        </w:tc>
        <w:tc>
          <w:tcPr>
            <w:tcW w:type="dxa" w:w="1234"/>
          </w:tcPr>
          <w:p>
            <w:r>
              <w:rPr>
                <w:rFonts w:ascii="Calibri" w:hAnsi="Calibri"/>
                <w:b/>
                <w:color w:val="30A46C"/>
                <w:sz w:val="22"/>
              </w:rPr>
              <w:t>↑ NII in line; NIM expanding</w:t>
            </w:r>
          </w:p>
        </w:tc>
        <w:tc>
          <w:tcPr>
            <w:tcW w:type="dxa" w:w="1234"/>
          </w:tcPr>
          <w:p>
            <w:r>
              <w:rPr>
                <w:rFonts w:ascii="Calibri" w:hAnsi="Calibri"/>
                <w:b/>
                <w:color w:val="30A46C"/>
                <w:sz w:val="22"/>
              </w:rPr>
              <w:t>↑ IB &amp; wealth strong</w:t>
            </w:r>
          </w:p>
        </w:tc>
        <w:tc>
          <w:tcPr>
            <w:tcW w:type="dxa" w:w="1234"/>
          </w:tcPr>
          <w:p>
            <w:r>
              <w:rPr>
                <w:rFonts w:ascii="Calibri" w:hAnsi="Calibri"/>
                <w:b/>
                <w:color w:val="30A46C"/>
                <w:sz w:val="22"/>
              </w:rPr>
              <w:t>↑ Positive</w:t>
            </w:r>
          </w:p>
        </w:tc>
        <w:tc>
          <w:tcPr>
            <w:tcW w:type="dxa" w:w="1234"/>
          </w:tcPr>
          <w:p>
            <w:r>
              <w:rPr>
                <w:rFonts w:ascii="Calibri" w:hAnsi="Calibri"/>
                <w:sz w:val="22"/>
              </w:rPr>
              <w:t>→ Stable</w:t>
            </w:r>
          </w:p>
        </w:tc>
        <w:tc>
          <w:tcPr>
            <w:tcW w:type="dxa" w:w="1234"/>
          </w:tcPr>
          <w:p>
            <w:r>
              <w:rPr>
                <w:rFonts w:ascii="Calibri" w:hAnsi="Calibri"/>
                <w:b/>
                <w:color w:val="30A46C"/>
                <w:sz w:val="22"/>
              </w:rPr>
              <w:t>↑ Positive</w:t>
            </w:r>
          </w:p>
        </w:tc>
      </w:tr>
      <w:tr>
        <w:tc>
          <w:tcPr>
            <w:tcW w:type="dxa" w:w="1234"/>
          </w:tcPr>
          <w:p>
            <w:r>
              <w:rPr>
                <w:rFonts w:ascii="Calibri" w:hAnsi="Calibri"/>
                <w:sz w:val="22"/>
              </w:rPr>
              <w:t>FITB</w:t>
            </w:r>
          </w:p>
        </w:tc>
        <w:tc>
          <w:tcPr>
            <w:tcW w:type="dxa" w:w="1234"/>
          </w:tcPr>
          <w:p>
            <w:r>
              <w:rPr>
                <w:rFonts w:ascii="Calibri" w:hAnsi="Calibri"/>
                <w:sz w:val="22"/>
              </w:rPr>
              <w:t>MS Conference (Jun 10)</w:t>
            </w:r>
          </w:p>
        </w:tc>
        <w:tc>
          <w:tcPr>
            <w:tcW w:type="dxa" w:w="1234"/>
          </w:tcPr>
          <w:p>
            <w:r>
              <w:rPr>
                <w:rFonts w:ascii="Calibri" w:hAnsi="Calibri"/>
                <w:b/>
                <w:color w:val="30A46C"/>
                <w:sz w:val="22"/>
              </w:rPr>
              <w:t>↑ Stable deposits; repricing</w:t>
            </w:r>
          </w:p>
        </w:tc>
        <w:tc>
          <w:tcPr>
            <w:tcW w:type="dxa" w:w="1234"/>
          </w:tcPr>
          <w:p>
            <w:r>
              <w:rPr>
                <w:rFonts w:ascii="Calibri" w:hAnsi="Calibri"/>
                <w:b/>
                <w:color w:val="30A46C"/>
                <w:sz w:val="22"/>
              </w:rPr>
              <w:t>↑ Cap mkts &amp; payments strong</w:t>
            </w:r>
          </w:p>
        </w:tc>
        <w:tc>
          <w:tcPr>
            <w:tcW w:type="dxa" w:w="1234"/>
          </w:tcPr>
          <w:p>
            <w:r>
              <w:rPr>
                <w:rFonts w:ascii="Calibri" w:hAnsi="Calibri"/>
                <w:b/>
                <w:color w:val="30A46C"/>
                <w:sz w:val="22"/>
              </w:rPr>
              <w:t>↑ C&amp;I improving</w:t>
            </w:r>
          </w:p>
        </w:tc>
        <w:tc>
          <w:tcPr>
            <w:tcW w:type="dxa" w:w="1234"/>
          </w:tcPr>
          <w:p>
            <w:r>
              <w:rPr>
                <w:rFonts w:ascii="Calibri" w:hAnsi="Calibri"/>
                <w:sz w:val="22"/>
              </w:rPr>
              <w:t>→ Stable</w:t>
            </w:r>
          </w:p>
        </w:tc>
        <w:tc>
          <w:tcPr>
            <w:tcW w:type="dxa" w:w="1234"/>
          </w:tcPr>
          <w:p>
            <w:r>
              <w:rPr>
                <w:rFonts w:ascii="Calibri" w:hAnsi="Calibri"/>
                <w:b/>
                <w:color w:val="30A46C"/>
                <w:sz w:val="22"/>
              </w:rPr>
              <w:t>↑ Positive</w:t>
            </w:r>
          </w:p>
        </w:tc>
      </w:tr>
    </w:tbl>
    <w:p>
      <w:r>
        <w:rPr>
          <w:rFonts w:ascii="Calibri" w:hAnsi="Calibri"/>
          <w:i/>
          <w:color w:val="525866"/>
          <w:sz w:val="22"/>
        </w:rPr>
        <w:t>Source: JPM, WFC, BAC, PNC, MTB Q2 2026 Earnings Call transcripts (July 14–15, 2026); RF, KEY, TFC, FITB Morgan Stanley U.S. Financials Conference transcripts (June 9–10, 2026); TFC Bernstein Strategic Decisions Conference transcript (May 28, 2026).</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Two insider sales were disclosed since Q1 2026 earnings — both were open-market sales (not 10b5-1 plan trades) by senior executives. The sales are modest in size relative to total holdings and do not represent a material negative signal, but the absence of insider buying at current levels is worth noting given the stock's 13.6% rally since Q1 earnings.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Insider</w:t>
            </w:r>
          </w:p>
        </w:tc>
        <w:tc>
          <w:tcPr>
            <w:tcW w:type="dxa" w:w="1234"/>
            <w:shd w:val="clear" w:color="auto" w:fill="3B4259"/>
          </w:tcPr>
          <w:p>
            <w:r>
              <w:rPr>
                <w:rFonts w:ascii="Calibri" w:hAnsi="Calibri"/>
                <w:b/>
                <w:color w:val="FFFFFF"/>
                <w:sz w:val="22"/>
              </w:rPr>
              <w:t>Role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10b5-1 Plan?</w:t>
            </w:r>
          </w:p>
        </w:tc>
        <w:tc>
          <w:tcPr>
            <w:tcW w:type="dxa" w:w="1234"/>
            <w:shd w:val="clear" w:color="auto" w:fill="3B4259"/>
          </w:tcPr>
          <w:p>
            <w:r>
              <w:rPr>
                <w:rFonts w:ascii="Calibri" w:hAnsi="Calibri"/>
                <w:b/>
                <w:color w:val="FFFFFF"/>
                <w:sz w:val="22"/>
              </w:rPr>
              <w:t>Shares Owned After</w:t>
            </w:r>
          </w:p>
        </w:tc>
      </w:tr>
      <w:tr>
        <w:tc>
          <w:tcPr>
            <w:tcW w:type="dxa" w:w="1234"/>
          </w:tcPr>
          <w:p>
            <w:r>
              <w:rPr>
                <w:rFonts w:ascii="Calibri" w:hAnsi="Calibri"/>
                <w:sz w:val="22"/>
              </w:rPr>
              <w:t>Dilip Venkatachari</w:t>
            </w:r>
          </w:p>
        </w:tc>
        <w:tc>
          <w:tcPr>
            <w:tcW w:type="dxa" w:w="1234"/>
          </w:tcPr>
          <w:p>
            <w:r>
              <w:rPr>
                <w:rFonts w:ascii="Calibri" w:hAnsi="Calibri"/>
                <w:sz w:val="22"/>
              </w:rPr>
              <w:t>SEVP &amp; Chief Info &amp; Tech Officer</w:t>
            </w:r>
          </w:p>
        </w:tc>
        <w:tc>
          <w:tcPr>
            <w:tcW w:type="dxa" w:w="1234"/>
          </w:tcPr>
          <w:p>
            <w:r>
              <w:rPr>
                <w:rFonts w:ascii="Calibri" w:hAnsi="Calibri"/>
                <w:sz w:val="22"/>
              </w:rPr>
              <w:t>May 5, 2026</w:t>
            </w:r>
          </w:p>
        </w:tc>
        <w:tc>
          <w:tcPr>
            <w:tcW w:type="dxa" w:w="1234"/>
          </w:tcPr>
          <w:p>
            <w:r>
              <w:rPr>
                <w:rFonts w:ascii="Calibri" w:hAnsi="Calibri"/>
                <w:sz w:val="22"/>
              </w:rPr>
              <w:t>Sale (Open Market)</w:t>
            </w:r>
          </w:p>
        </w:tc>
        <w:tc>
          <w:tcPr>
            <w:tcW w:type="dxa" w:w="1234"/>
          </w:tcPr>
          <w:p>
            <w:r>
              <w:rPr>
                <w:rFonts w:ascii="Calibri" w:hAnsi="Calibri"/>
                <w:sz w:val="22"/>
              </w:rPr>
              <w:t>34,522</w:t>
            </w:r>
          </w:p>
        </w:tc>
        <w:tc>
          <w:tcPr>
            <w:tcW w:type="dxa" w:w="1234"/>
          </w:tcPr>
          <w:p>
            <w:r>
              <w:rPr>
                <w:rFonts w:ascii="Calibri" w:hAnsi="Calibri"/>
                <w:sz w:val="22"/>
              </w:rPr>
              <w:t>No</w:t>
            </w:r>
          </w:p>
        </w:tc>
        <w:tc>
          <w:tcPr>
            <w:tcW w:type="dxa" w:w="1234"/>
          </w:tcPr>
          <w:p>
            <w:r>
              <w:rPr>
                <w:rFonts w:ascii="Calibri" w:hAnsi="Calibri"/>
                <w:sz w:val="22"/>
              </w:rPr>
              <w:t>51,292</w:t>
            </w:r>
          </w:p>
        </w:tc>
      </w:tr>
      <w:tr>
        <w:tc>
          <w:tcPr>
            <w:tcW w:type="dxa" w:w="1234"/>
          </w:tcPr>
          <w:p>
            <w:r>
              <w:rPr>
                <w:rFonts w:ascii="Calibri" w:hAnsi="Calibri"/>
                <w:sz w:val="22"/>
              </w:rPr>
              <w:t>Jodi L. Richard</w:t>
            </w:r>
          </w:p>
        </w:tc>
        <w:tc>
          <w:tcPr>
            <w:tcW w:type="dxa" w:w="1234"/>
          </w:tcPr>
          <w:p>
            <w:r>
              <w:rPr>
                <w:rFonts w:ascii="Calibri" w:hAnsi="Calibri"/>
                <w:sz w:val="22"/>
              </w:rPr>
              <w:t>Vice Chair</w:t>
            </w:r>
          </w:p>
        </w:tc>
        <w:tc>
          <w:tcPr>
            <w:tcW w:type="dxa" w:w="1234"/>
          </w:tcPr>
          <w:p>
            <w:r>
              <w:rPr>
                <w:rFonts w:ascii="Calibri" w:hAnsi="Calibri"/>
                <w:sz w:val="22"/>
              </w:rPr>
              <w:t>April 21, 2026</w:t>
            </w:r>
          </w:p>
        </w:tc>
        <w:tc>
          <w:tcPr>
            <w:tcW w:type="dxa" w:w="1234"/>
          </w:tcPr>
          <w:p>
            <w:r>
              <w:rPr>
                <w:rFonts w:ascii="Calibri" w:hAnsi="Calibri"/>
                <w:sz w:val="22"/>
              </w:rPr>
              <w:t>Sale (Open Market)</w:t>
            </w:r>
          </w:p>
        </w:tc>
        <w:tc>
          <w:tcPr>
            <w:tcW w:type="dxa" w:w="1234"/>
          </w:tcPr>
          <w:p>
            <w:r>
              <w:rPr>
                <w:rFonts w:ascii="Calibri" w:hAnsi="Calibri"/>
                <w:sz w:val="22"/>
              </w:rPr>
              <w:t>40,000</w:t>
            </w:r>
          </w:p>
        </w:tc>
        <w:tc>
          <w:tcPr>
            <w:tcW w:type="dxa" w:w="1234"/>
          </w:tcPr>
          <w:p>
            <w:r>
              <w:rPr>
                <w:rFonts w:ascii="Calibri" w:hAnsi="Calibri"/>
                <w:sz w:val="22"/>
              </w:rPr>
              <w:t>No</w:t>
            </w:r>
          </w:p>
        </w:tc>
        <w:tc>
          <w:tcPr>
            <w:tcW w:type="dxa" w:w="1234"/>
          </w:tcPr>
          <w:p>
            <w:r>
              <w:rPr>
                <w:rFonts w:ascii="Calibri" w:hAnsi="Calibri"/>
                <w:sz w:val="22"/>
              </w:rPr>
              <w:t>207,251</w:t>
            </w:r>
          </w:p>
        </w:tc>
      </w:tr>
    </w:tbl>
    <w:p>
      <w:r>
        <w:rPr>
          <w:rFonts w:ascii="Calibri" w:hAnsi="Calibri"/>
          <w:i/>
          <w:color w:val="525866"/>
          <w:sz w:val="22"/>
        </w:rPr>
        <w:t>Source: SEC Form 4 filings. Insider transaction data covers the period from Q1 2026 earnings (April 16, 2026) through July 15, 2026.</w:t>
      </w:r>
    </w:p>
    <w:p>
      <w:r>
        <w:br w:type="page"/>
      </w:r>
    </w:p>
    <w:p>
      <w:pPr>
        <w:pStyle w:val="Heading2"/>
      </w:pPr>
      <w:r>
        <w:rPr>
          <w:rFonts w:ascii="Calibri" w:hAnsi="Calibri"/>
          <w:b/>
          <w:color w:val="3B4259"/>
          <w:sz w:val="28"/>
        </w:rPr>
        <w:t>9. Key Risks &amp; Considerations</w:t>
      </w:r>
    </w:p>
    <w:p>
      <w:pPr>
        <w:pStyle w:val="ListBullet"/>
        <w:ind w:left="360" w:hanging="360"/>
      </w:pPr>
      <w:r>
        <w:rPr>
          <w:rFonts w:ascii="Calibri" w:hAnsi="Calibri"/>
          <w:b/>
          <w:color w:val="525866"/>
          <w:sz w:val="22"/>
        </w:rPr>
        <w:t>NIM Stagnation Risk:</w:t>
      </w:r>
      <w:r>
        <w:rPr>
          <w:rFonts w:ascii="Calibri" w:hAnsi="Calibri"/>
          <w:color w:val="525866"/>
          <w:sz w:val="22"/>
        </w:rPr>
        <w:t xml:space="preserve"> NIM has been flat at 2.77% for two consecutive quarters (Q4 2025 and Q1 2026), despite management's expectation of sequential expansion. Elevated mortgage prepayments and tighter loan spreads have been offsetting the fixed-rate asset repricing tailwind. If NIM fails to expand sequentially in Q2 2026, it would raise questions about the credibility of the 3% NIM target by 2027.</w:t>
      </w:r>
    </w:p>
    <w:p>
      <w:pPr>
        <w:pStyle w:val="ListBullet"/>
        <w:ind w:left="360" w:hanging="360"/>
      </w:pPr>
      <w:r>
        <w:rPr>
          <w:rFonts w:ascii="Calibri" w:hAnsi="Calibri"/>
          <w:b/>
          <w:color w:val="525866"/>
          <w:sz w:val="22"/>
        </w:rPr>
        <w:t>BTIG Integration Risk:</w:t>
      </w:r>
      <w:r>
        <w:rPr>
          <w:rFonts w:ascii="Calibri" w:hAnsi="Calibri"/>
          <w:color w:val="525866"/>
          <w:sz w:val="22"/>
        </w:rPr>
        <w:t xml:space="preserve"> The BTIG acquisition closed June 1, 2026, and its financial impact will be formally incorporated into guidance for the first time at Q2 earnings. Integration charges, revenue recognition timing, and the pace of BTIG's contribution to capital markets revenue are all uncertain. If BTIG's contribution disappoints or integration costs are higher than expected, it could weigh on the Q2 print and full-year guidance.</w:t>
      </w:r>
    </w:p>
    <w:p>
      <w:pPr>
        <w:pStyle w:val="ListBullet"/>
        <w:ind w:left="360" w:hanging="360"/>
      </w:pPr>
      <w:r>
        <w:rPr>
          <w:rFonts w:ascii="Calibri" w:hAnsi="Calibri"/>
          <w:b/>
          <w:color w:val="525866"/>
          <w:sz w:val="22"/>
        </w:rPr>
        <w:t>Loan Spread Compression:</w:t>
      </w:r>
      <w:r>
        <w:rPr>
          <w:rFonts w:ascii="Calibri" w:hAnsi="Calibri"/>
          <w:color w:val="525866"/>
          <w:sz w:val="22"/>
        </w:rPr>
        <w:t xml:space="preserve"> Management acknowledged that loan spreads have tightened over the course of 2026, consistent with broader macro credit spread tightening and a mix shift toward larger corporate loans. If spread compression accelerates, it could offset the volume-driven NII growth and pressure NIM expansion.</w:t>
      </w:r>
    </w:p>
    <w:p>
      <w:pPr>
        <w:pStyle w:val="ListBullet"/>
        <w:ind w:left="360" w:hanging="360"/>
      </w:pPr>
      <w:r>
        <w:rPr>
          <w:rFonts w:ascii="Calibri" w:hAnsi="Calibri"/>
          <w:b/>
          <w:color w:val="525866"/>
          <w:sz w:val="22"/>
        </w:rPr>
        <w:t>Rate Path Uncertainty:</w:t>
      </w:r>
      <w:r>
        <w:rPr>
          <w:rFonts w:ascii="Calibri" w:hAnsi="Calibri"/>
          <w:color w:val="525866"/>
          <w:sz w:val="22"/>
        </w:rPr>
        <w:t xml:space="preserve"> Management cited 'heightened uncertainty around the rate path' (including geopolitical factors) as the reason for maintaining the 4–6% full-year NII guidance range rather than narrowing it. Any unexpected rate cuts or curve flattening could pressure NIM and NII relative to consensus.</w:t>
      </w:r>
    </w:p>
    <w:p>
      <w:pPr>
        <w:pStyle w:val="ListBullet"/>
        <w:ind w:left="360" w:hanging="360"/>
      </w:pPr>
      <w:r>
        <w:rPr>
          <w:rFonts w:ascii="Calibri" w:hAnsi="Calibri"/>
          <w:b/>
          <w:color w:val="525866"/>
          <w:sz w:val="22"/>
        </w:rPr>
        <w:t>Category 2 Regulatory Transition:</w:t>
      </w:r>
      <w:r>
        <w:rPr>
          <w:rFonts w:ascii="Calibri" w:hAnsi="Calibri"/>
          <w:color w:val="525866"/>
          <w:sz w:val="22"/>
        </w:rPr>
        <w:t xml:space="preserve"> USB crossed $700B in ending assets in Q1 2026 and is approaching the Category 2 threshold. While Basel III proposals are seen as favorable, the transition could bring incremental compliance costs and capital requirements that are not yet fully reflected in consensus estimates.</w:t>
      </w:r>
    </w:p>
    <w:p>
      <w:pPr>
        <w:pStyle w:val="ListBullet"/>
        <w:ind w:left="360" w:hanging="360"/>
      </w:pPr>
      <w:r>
        <w:rPr>
          <w:rFonts w:ascii="Calibri" w:hAnsi="Calibri"/>
          <w:b/>
          <w:color w:val="525866"/>
          <w:sz w:val="22"/>
        </w:rPr>
        <w:t>Amazon Card Launch Execution:</w:t>
      </w:r>
      <w:r>
        <w:rPr>
          <w:rFonts w:ascii="Calibri" w:hAnsi="Calibri"/>
          <w:color w:val="525866"/>
          <w:sz w:val="22"/>
        </w:rPr>
        <w:t xml:space="preserve"> The Amazon small business card launch (expected Q3 2026) is a meaningful revenue catalyst, but execution risk exists around the transition from Amex, client onboarding, and the pace of revenue ramp. Any delay or lower-than-expected uptake would be a negative surprise.</w:t>
      </w:r>
    </w:p>
    <w:p>
      <w:pPr>
        <w:pStyle w:val="ListBullet"/>
        <w:ind w:left="360" w:hanging="360"/>
      </w:pPr>
      <w:r>
        <w:rPr>
          <w:rFonts w:ascii="Calibri" w:hAnsi="Calibri"/>
          <w:b/>
          <w:color w:val="525866"/>
          <w:sz w:val="22"/>
        </w:rPr>
        <w:t>Stock Valuation After Rally:</w:t>
      </w:r>
      <w:r>
        <w:rPr>
          <w:rFonts w:ascii="Calibri" w:hAnsi="Calibri"/>
          <w:color w:val="525866"/>
          <w:sz w:val="22"/>
        </w:rPr>
        <w:t xml:space="preserve"> USB has rallied 13.6% since Q1 earnings, outperforming KRE by 3.5 pts and SPY by 6.0 pts. At ~12.3x forward P/E on FY2026 consensus EPS, the stock is no longer as cheap as it was, and the bar for a positive stock reaction to Q2 results is higher than it was three months ago.</w:t>
      </w:r>
    </w:p>
    <w:p>
      <w:r>
        <w:rPr>
          <w:rFonts w:ascii="Calibri" w:hAnsi="Calibri"/>
          <w:b/>
          <w:color w:val="525866"/>
          <w:sz w:val="22"/>
        </w:rPr>
        <w:t>Disclosures &amp; Sources</w:t>
      </w:r>
    </w:p>
    <w:p>
      <w:r>
        <w:rPr>
          <w:rFonts w:ascii="Calibri" w:hAnsi="Calibri"/>
          <w:i/>
          <w:color w:val="525866"/>
          <w:sz w:val="22"/>
        </w:rPr>
        <w:t>This document is prepared for informational purposes only and does not constitute investment advice. All consensus and actuals data sourced from Visible Alpha. Stock price data sourced from market data. Insider transaction data sourced from SEC Form 4 filings. Peer commentary sourced from earnings call transcripts and investor conference transcripts as cited throughout. Prepared: July 15,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