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fc-earnings-predictions--2026-07-14"/>
    <w:p>
      <w:pPr>
        <w:pStyle w:val="Heading1"/>
      </w:pPr>
      <w:r>
        <w:t xml:space="preserve">WFC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~$12.35B vs. cons $12.36B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~$21.85B vs. cons $21.77B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 expense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loan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vs. cons ~mid-single-digit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Medium-term ROTCE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~17-18% vs. cons ~15% current (medium-term)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WFC rallied ~6% in the two weeks into the print (from ~$82.6 on 6/30 to $87.69), erasing its unloved/underdog setup and raising the bar. Q1 precedent is a warning: the stock fell ~5.7% on report day (4/13 $86.64 to 4/14</w:t>
            </w:r>
            <w:r>
              <w:t xml:space="preserve"> </w:t>
            </w:r>
            <m:oMath>
              <m:r>
                <m:t>81.70</m:t>
              </m:r>
              <m:r>
                <m:rPr>
                  <m:sty m:val="p"/>
                </m:rPr>
                <m:t>)</m:t>
              </m:r>
              <m:r>
                <m:t>o</m:t>
              </m:r>
              <m:r>
                <m:t>n</m:t>
              </m:r>
              <m:r>
                <m:t>a</m:t>
              </m:r>
              <m:r>
                <m:t>s</m:t>
              </m:r>
              <m:r>
                <m:t>l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N</m:t>
              </m:r>
              <m:r>
                <m:t>I</m:t>
              </m:r>
              <m:r>
                <m:t>I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N</m:t>
              </m:r>
              <m:r>
                <m:t>I</m:t>
              </m:r>
              <m:r>
                <m:t>M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b</m:t>
              </m:r>
              <m:r>
                <m:t>y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d</m:t>
              </m:r>
              <m:r>
                <m:t>i</m:t>
              </m:r>
              <m:r>
                <m:t>s</m:t>
              </m:r>
              <m:r>
                <m:t>c</m:t>
              </m:r>
              <m:r>
                <m:t>i</m:t>
              </m:r>
              <m:r>
                <m:t>p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i</m:t>
              </m:r>
              <m:r>
                <m:t>s</m:t>
              </m:r>
              <m:r>
                <m:t>m</m:t>
              </m:r>
              <m:r>
                <m:t>o</m:t>
              </m:r>
              <m:r>
                <m:t>r</m:t>
              </m:r>
              <m:r>
                <m:t>e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N</m:t>
              </m:r>
              <m:r>
                <m:t>I</m:t>
              </m:r>
              <m:r>
                <m:t>I</m:t>
              </m:r>
              <m:r>
                <m:t>m</m:t>
              </m:r>
              <m:r>
                <m:t>e</m:t>
              </m:r>
              <m:r>
                <m:t>r</m:t>
              </m:r>
              <m:r>
                <m:t>e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o</m:t>
              </m:r>
              <m:r>
                <m:t>n</m:t>
              </m:r>
              <m:r>
                <m:t>g</m:t>
              </m:r>
              <m:r>
                <m:t>o</m:t>
              </m:r>
              <m:r>
                <m:t>i</m:t>
              </m:r>
              <m:r>
                <m:t>n</m:t>
              </m:r>
              <m:r>
                <m:t>g</m:t>
              </m:r>
              <m:r>
                <m:t>N</m:t>
              </m:r>
              <m:r>
                <m:t>I</m:t>
              </m:r>
              <m:r>
                <m:t>M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 </m:t>
              </m:r>
            </m:oMath>
            <w:r>
              <w:t xml:space="preserve">50B NII / ~$55.7B expense guide give the sell side little to push estimates higher — the out-period math (fewer forward NII revisions, ex-markets core spread pressure) pulls numbers flat-to-down. Sell-the-news fade into the rest of big-bank earnings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2026-07-14T01:21:53Z</dcterms:created>
  <dcterms:modified xsi:type="dcterms:W3CDTF">2026-07-14T01:21:53Z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