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Wells Fargo before writing the preview. Let me gather recent earnings materials, news, and analyst context.Let me read the most recent Q1 2026 earnings call and release, and pull recent stock price and analyst context.Let me pull stock price performance and recent sector/analyst context.I now have what I need. Here's the earnings preview.</w:t>
      </w:r>
    </w:p>
    <w:p>
      <w:r>
        <w:pict>
          <v:rect style="width:0;height:1.5pt" o:hralign="center" o:hrstd="t" o:hr="t"/>
        </w:pict>
      </w:r>
    </w:p>
    <w:bookmarkStart w:id="21" w:name="X5af15dee268916b3f9c919312feb92cb6c7044b"/>
    <w:p>
      <w:pPr>
        <w:pStyle w:val="Heading1"/>
      </w:pPr>
      <w:r>
        <w:t xml:space="preserve">Wells Fargo (WFC) — Q2 2026 Earnings Preview</w:t>
      </w:r>
    </w:p>
    <w:bookmarkStart w:id="9" w:name="X5814a5fc4ac6b00e5b5fe30741034402587ad7c"/>
    <w:p>
      <w:pPr>
        <w:pStyle w:val="Heading3"/>
      </w:pPr>
      <w:r>
        <w:t xml:space="preserve">Reports Tuesday, July 14, 2026, before the open | 2026Q2 Earnings Call</w:t>
      </w:r>
    </w:p>
    <w:bookmarkEnd w:id="9"/>
    <w:bookmarkStart w:id="10" w:name="the-one-line-setup"/>
    <w:p>
      <w:pPr>
        <w:pStyle w:val="Heading2"/>
      </w:pPr>
      <w:r>
        <w:t xml:space="preserve">The One-Line Setup</w:t>
      </w:r>
    </w:p>
    <w:p>
      <w:pPr>
        <w:pStyle w:val="FirstParagraph"/>
      </w:pPr>
      <w:r>
        <w:t xml:space="preserve">WFC reports as the "underdog" of the big-bank cohort this quarter. It's the rare mega-cap bank that's</w:t>
      </w:r>
      <w:r>
        <w:t xml:space="preserve"> </w:t>
      </w:r>
      <w:r>
        <w:rPr>
          <w:i/>
          <w:iCs/>
        </w:rPr>
        <w:t xml:space="preserve">down</w:t>
      </w:r>
      <w:r>
        <w:t xml:space="preserve"> </w:t>
      </w:r>
      <w:r>
        <w:t xml:space="preserve">year-to-date while peers have rallied, the asset cap is now firmly in the rearview mirror, and at least one prominent bank analyst is flagging it as a preferred name precisely because sentiment is muted. The tension into the print: an increasingly compelling growth-and-capital-return story colliding with real, ongoing net interest margin compression that keeps the market skeptical about the path to elite returns.</w:t>
      </w:r>
    </w:p>
    <w:p>
      <w:r>
        <w:pict>
          <v:rect style="width:0;height:1.5pt" o:hralign="center" o:hrstd="t" o:hr="t"/>
        </w:pict>
      </w:r>
    </w:p>
    <w:bookmarkEnd w:id="10"/>
    <w:bookmarkStart w:id="11" w:name="X650322a59242e2f593f4c9258a536adc6402956"/>
    <w:p>
      <w:pPr>
        <w:pStyle w:val="Heading2"/>
      </w:pPr>
      <w:r>
        <w:t xml:space="preserve">1. What the Street Expects</w:t>
      </w:r>
    </w:p>
    <w:p>
      <w:pPr>
        <w:pStyle w:val="FirstParagraph"/>
      </w:pPr>
      <w:r>
        <w:t xml:space="preserve">Consensus for Q2 2026, per pre-earnings coverage: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Consensus</w:t>
            </w:r>
          </w:p>
        </w:tc>
        <w:tc>
          <w:tcPr/>
          <w:p>
            <w:pPr>
              <w:pStyle w:val="Compact"/>
            </w:pPr>
            <w:r>
              <w:t xml:space="preserve">Y/Y</w:t>
            </w:r>
          </w:p>
        </w:tc>
      </w:tr>
      <w:tr>
        <w:tc>
          <w:tcPr/>
          <w:p>
            <w:pPr>
              <w:pStyle w:val="Compact"/>
            </w:pPr>
            <w:r>
              <w:t xml:space="preserve">EPS</w:t>
            </w:r>
          </w:p>
        </w:tc>
        <w:tc>
          <w:tcPr/>
          <w:p>
            <w:pPr>
              <w:pStyle w:val="Compact"/>
            </w:pPr>
            <w:r>
              <w:t xml:space="preserve">~$1.71</w:t>
            </w:r>
          </w:p>
        </w:tc>
        <w:tc>
          <w:tcPr/>
          <w:p>
            <w:pPr>
              <w:pStyle w:val="Compact"/>
            </w:pPr>
            <w:r>
              <w:t xml:space="preserve">+6.8%</w:t>
            </w:r>
          </w:p>
        </w:tc>
      </w:tr>
      <w:tr>
        <w:tc>
          <w:tcPr/>
          <w:p>
            <w:pPr>
              <w:pStyle w:val="Compact"/>
            </w:pPr>
            <w:r>
              <w:t xml:space="preserve">Total revenue</w:t>
            </w:r>
          </w:p>
        </w:tc>
        <w:tc>
          <w:tcPr/>
          <w:p>
            <w:pPr>
              <w:pStyle w:val="Compact"/>
            </w:pPr>
            <w:r>
              <w:t xml:space="preserve">~$21.77B</w:t>
            </w:r>
          </w:p>
        </w:tc>
        <w:tc>
          <w:tcPr/>
          <w:p>
            <w:pPr>
              <w:pStyle w:val="Compact"/>
            </w:pPr>
            <w:r>
              <w:t xml:space="preserve">+4.9%</w:t>
            </w:r>
          </w:p>
        </w:tc>
      </w:tr>
      <w:tr>
        <w:tc>
          <w:tcPr/>
          <w:p>
            <w:pPr>
              <w:pStyle w:val="Compact"/>
            </w:pPr>
            <w:r>
              <w:t xml:space="preserve">Net interest income</w:t>
            </w:r>
          </w:p>
        </w:tc>
        <w:tc>
          <w:tcPr/>
          <w:p>
            <w:pPr>
              <w:pStyle w:val="Compact"/>
            </w:pPr>
            <w:r>
              <w:t xml:space="preserve">~$12.36B</w:t>
            </w:r>
          </w:p>
        </w:tc>
        <w:tc>
          <w:tcPr/>
          <w:p>
            <w:pPr>
              <w:pStyle w:val="Compact"/>
            </w:pPr>
            <w:r>
              <w:t xml:space="preserve">+4.85%</w:t>
            </w:r>
          </w:p>
        </w:tc>
      </w:tr>
      <w:tr>
        <w:tc>
          <w:tcPr/>
          <w:p>
            <w:pPr>
              <w:pStyle w:val="Compact"/>
            </w:pPr>
            <w:r>
              <w:t xml:space="preserve">Noninterest income</w:t>
            </w:r>
          </w:p>
        </w:tc>
        <w:tc>
          <w:tcPr/>
          <w:p>
            <w:pPr>
              <w:pStyle w:val="Compact"/>
            </w:pPr>
            <w:r>
              <w:t xml:space="preserve">~$9.38B</w:t>
            </w:r>
          </w:p>
        </w:tc>
        <w:tc>
          <w:tcPr/>
          <w:p>
            <w:pPr>
              <w:pStyle w:val="Compact"/>
            </w:pPr>
            <w:r>
              <w:t xml:space="preserve">+3%</w:t>
            </w:r>
          </w:p>
        </w:tc>
      </w:tr>
    </w:tbl>
    <w:p>
      <w:pPr>
        <w:pStyle w:val="BodyText"/>
      </w:pPr>
      <w:r>
        <w:t xml:space="preserve">For reference, Q1 2026 actuals were EPS of $1.60, revenue of $21.45B, NII of $12.10B, and NIM of 2.47%. The implied sequential improvement in NII is the crux of the report — management has guided to NII</w:t>
      </w:r>
      <w:r>
        <w:t xml:space="preserve"> </w:t>
      </w:r>
      <w:r>
        <w:rPr>
          <w:i/>
          <w:iCs/>
        </w:rPr>
        <w:t xml:space="preserve">growing over the course of the year</w:t>
      </w:r>
      <w:r>
        <w:t xml:space="preserve"> </w:t>
      </w:r>
      <w:r>
        <w:t xml:space="preserve">even as margin compresses, so the mix of "how they get there" matters more than the headline.</w:t>
      </w:r>
    </w:p>
    <w:p>
      <w:pPr>
        <w:pStyle w:val="BodyText"/>
      </w:pPr>
      <w:r>
        <w:rPr>
          <w:b/>
          <w:bCs/>
        </w:rPr>
        <w:t xml:space="preserve">Beat history is a tailwind:</w:t>
      </w:r>
      <w:r>
        <w:t xml:space="preserve"> </w:t>
      </w:r>
      <w:r>
        <w:t xml:space="preserve">Note that management has missed EPS only once since 2022 and has averaged results meaningfully above estimates, which colors how the buy side positions into the number. Cost discipline is the usual swing factor to the upside.</w:t>
      </w:r>
    </w:p>
    <w:p>
      <w:r>
        <w:pict>
          <v:rect style="width:0;height:1.5pt" o:hralign="center" o:hrstd="t" o:hr="t"/>
        </w:pict>
      </w:r>
    </w:p>
    <w:bookmarkEnd w:id="11"/>
    <w:bookmarkStart w:id="12" w:name="X75d622aa726222b06d0510d58a7769bbe130992"/>
    <w:p>
      <w:pPr>
        <w:pStyle w:val="Heading2"/>
      </w:pPr>
      <w:r>
        <w:t xml:space="preserve">2. The Central Debate: NII Growth vs. NIM Compression</w:t>
      </w:r>
    </w:p>
    <w:p>
      <w:pPr>
        <w:pStyle w:val="FirstParagraph"/>
      </w:pPr>
      <w:r>
        <w:t xml:space="preserve">This is the number that will drive the stock's reaction.</w:t>
      </w:r>
    </w:p>
    <w:p>
      <w:pPr>
        <w:pStyle w:val="Compact"/>
        <w:numPr>
          <w:ilvl w:val="0"/>
          <w:numId w:val="1001"/>
        </w:numPr>
      </w:pPr>
      <w:r>
        <w:rPr>
          <w:b/>
          <w:bCs/>
        </w:rPr>
        <w:t xml:space="preserve">Full-year guide unchanged (as of Q1):</w:t>
      </w:r>
      <w:r>
        <w:t xml:space="preserve"> </w:t>
      </w:r>
      <w:r>
        <w:t xml:space="preserve">~$50B of NII, "plus or minus." Management said 2026 was "largely playing out as expected."</w:t>
      </w:r>
    </w:p>
    <w:p>
      <w:pPr>
        <w:pStyle w:val="Compact"/>
        <w:numPr>
          <w:ilvl w:val="0"/>
          <w:numId w:val="1001"/>
        </w:numPr>
      </w:pPr>
      <w:r>
        <w:rPr>
          <w:b/>
          <w:bCs/>
        </w:rPr>
        <w:t xml:space="preserve">Expect</w:t>
      </w:r>
      <w:r>
        <w:rPr>
          <w:b/>
          <w:bCs/>
        </w:rPr>
        <w:t xml:space="preserve"> </w:t>
      </w:r>
      <w:r>
        <w:rPr>
          <w:b/>
          <w:bCs/>
          <w:i/>
          <w:iCs/>
        </w:rPr>
        <w:t xml:space="preserve">more</w:t>
      </w:r>
      <w:r>
        <w:rPr>
          <w:b/>
          <w:bCs/>
        </w:rPr>
        <w:t xml:space="preserve"> </w:t>
      </w:r>
      <w:r>
        <w:rPr>
          <w:b/>
          <w:bCs/>
        </w:rPr>
        <w:t xml:space="preserve">margin compression in Q2.</w:t>
      </w:r>
      <w:r>
        <w:t xml:space="preserve"> </w:t>
      </w:r>
      <w:r>
        <w:t xml:space="preserve">On the Q1 call, CFO Mike Santomassimo explicitly guided to additional NIM compression in Q2, driven by three factors: (1) growth in the lower-margin, lower-risk</w:t>
      </w:r>
      <w:r>
        <w:t xml:space="preserve"> </w:t>
      </w:r>
      <w:r>
        <w:rPr>
          <w:b/>
          <w:bCs/>
        </w:rPr>
        <w:t xml:space="preserve">markets balance sheet (repo)</w:t>
      </w:r>
      <w:r>
        <w:t xml:space="preserve">, (2) faster growth in</w:t>
      </w:r>
      <w:r>
        <w:t xml:space="preserve"> </w:t>
      </w:r>
      <w:r>
        <w:rPr>
          <w:b/>
          <w:bCs/>
        </w:rPr>
        <w:t xml:space="preserve">interest-bearing deposits</w:t>
      </w:r>
      <w:r>
        <w:t xml:space="preserve"> </w:t>
      </w:r>
      <w:r>
        <w:t xml:space="preserve">than noninterest-bearing as the company recaptures commercial relationships post-asset-cap, and (3) the lingering impact of prior rate cuts. NIM fell 13 bps sequentially in Q1 to 2.47%.</w:t>
      </w:r>
    </w:p>
    <w:p>
      <w:pPr>
        <w:pStyle w:val="Compact"/>
        <w:numPr>
          <w:ilvl w:val="0"/>
          <w:numId w:val="1001"/>
        </w:numPr>
      </w:pPr>
      <w:r>
        <w:rPr>
          <w:b/>
          <w:bCs/>
        </w:rPr>
        <w:t xml:space="preserve">Watch the "ex-markets" NII line.</w:t>
      </w:r>
      <w:r>
        <w:t xml:space="preserve"> </w:t>
      </w:r>
      <w:r>
        <w:t xml:space="preserve">In Q1 it grew only ~2% y/y despite ~8% loan growth ex-markets — evidence of genuine core spread pressure that bears have latched onto. Any stabilization or improvement here would be a positive surprise.</w:t>
      </w:r>
    </w:p>
    <w:p>
      <w:pPr>
        <w:pStyle w:val="Compact"/>
        <w:numPr>
          <w:ilvl w:val="0"/>
          <w:numId w:val="1001"/>
        </w:numPr>
      </w:pPr>
      <w:r>
        <w:rPr>
          <w:b/>
          <w:bCs/>
        </w:rPr>
        <w:t xml:space="preserve">Rates are now a modest tailwind.</w:t>
      </w:r>
      <w:r>
        <w:t xml:space="preserve"> </w:t>
      </w:r>
      <w:r>
        <w:t xml:space="preserve">WFC's guide assumed 2–3 Fed cuts; the market now expects fewer. "Higher for longer" is a net positive for ex-markets NII, though the effect is modest this year since the assumed cuts were back-weighted. With Fed Chair Warsh presiding over a steadier-inflation environment and a rate</w:t>
      </w:r>
      <w:r>
        <w:t xml:space="preserve"> </w:t>
      </w:r>
      <w:r>
        <w:rPr>
          <w:i/>
          <w:iCs/>
        </w:rPr>
        <w:t xml:space="preserve">cut</w:t>
      </w:r>
      <w:r>
        <w:t xml:space="preserve"> </w:t>
      </w:r>
      <w:r>
        <w:t xml:space="preserve">far from certain, this could support NII into 2027.</w:t>
      </w:r>
    </w:p>
    <w:p>
      <w:pPr>
        <w:pStyle w:val="FirstParagraph"/>
      </w:pPr>
      <w:r>
        <w:rPr>
          <w:b/>
          <w:bCs/>
        </w:rPr>
        <w:t xml:space="preserve">Framing for the model:</w:t>
      </w:r>
      <w:r>
        <w:t xml:space="preserve"> </w:t>
      </w:r>
      <w:r>
        <w:t xml:space="preserve">Rather than obsess over quarterly cadence, follow management's own framing — loan and deposit growth each quarter plus stabilizing mortgage balances, with the Q4 exit run-rate being the key jumping-off point for 2027.</w:t>
      </w:r>
    </w:p>
    <w:p>
      <w:r>
        <w:pict>
          <v:rect style="width:0;height:1.5pt" o:hralign="center" o:hrstd="t" o:hr="t"/>
        </w:pict>
      </w:r>
    </w:p>
    <w:bookmarkEnd w:id="12"/>
    <w:bookmarkStart w:id="13" w:name="Xa7be98fcc6400c020cbb78f6bcd4b830c4594df"/>
    <w:p>
      <w:pPr>
        <w:pStyle w:val="Heading2"/>
      </w:pPr>
      <w:r>
        <w:t xml:space="preserve">3. Growth Mode: The Asset-Cap Dividend</w:t>
      </w:r>
    </w:p>
    <w:p>
      <w:pPr>
        <w:pStyle w:val="FirstParagraph"/>
      </w:pPr>
      <w:r>
        <w:t xml:space="preserve">This is the structural bull case and where the KPIs matter. After the asset cap was lifted, WFC is leaning into growth for the first time in years:</w:t>
      </w:r>
    </w:p>
    <w:p>
      <w:pPr>
        <w:pStyle w:val="Compact"/>
        <w:numPr>
          <w:ilvl w:val="0"/>
          <w:numId w:val="1002"/>
        </w:numPr>
      </w:pPr>
      <w:r>
        <w:rPr>
          <w:b/>
          <w:bCs/>
        </w:rPr>
        <w:t xml:space="preserve">Loans crossed $1 trillion</w:t>
      </w:r>
      <w:r>
        <w:t xml:space="preserve"> </w:t>
      </w:r>
      <w:r>
        <w:t xml:space="preserve">(period-end) in Q1 for the first time since Q1 2020, up 11% y/y. Management said average loan growth</w:t>
      </w:r>
      <w:r>
        <w:t xml:space="preserve"> </w:t>
      </w:r>
      <w:r>
        <w:rPr>
          <w:i/>
          <w:iCs/>
        </w:rPr>
        <w:t xml:space="preserve">could exceed</w:t>
      </w:r>
      <w:r>
        <w:t xml:space="preserve"> </w:t>
      </w:r>
      <w:r>
        <w:t xml:space="preserve">the mid-single-digit guide if demand stays strong.</w:t>
      </w:r>
    </w:p>
    <w:p>
      <w:pPr>
        <w:pStyle w:val="Compact"/>
        <w:numPr>
          <w:ilvl w:val="0"/>
          <w:numId w:val="1002"/>
        </w:numPr>
      </w:pPr>
      <w:r>
        <w:rPr>
          <w:b/>
          <w:bCs/>
        </w:rPr>
        <w:t xml:space="preserve">Consumer engine:</w:t>
      </w:r>
      <w:r>
        <w:t xml:space="preserve"> </w:t>
      </w:r>
      <w:r>
        <w:t xml:space="preserve">credit card new accounts +60% y/y, auto originations more than doubled, consumer checking openings +15%. The credit-card vintages are just starting to mature and contribute to profitability — a key ROTCE lever to watch commentary on.</w:t>
      </w:r>
    </w:p>
    <w:p>
      <w:pPr>
        <w:pStyle w:val="Compact"/>
        <w:numPr>
          <w:ilvl w:val="0"/>
          <w:numId w:val="1002"/>
        </w:numPr>
      </w:pPr>
      <w:r>
        <w:rPr>
          <w:b/>
          <w:bCs/>
        </w:rPr>
        <w:t xml:space="preserve">Commercial recapture:</w:t>
      </w:r>
      <w:r>
        <w:t xml:space="preserve"> </w:t>
      </w:r>
      <w:r>
        <w:t xml:space="preserve">corporate/commercial clients are moving deposit and financing business</w:t>
      </w:r>
      <w:r>
        <w:t xml:space="preserve"> </w:t>
      </w:r>
      <w:r>
        <w:rPr>
          <w:i/>
          <w:iCs/>
        </w:rPr>
        <w:t xml:space="preserve">back</w:t>
      </w:r>
      <w:r>
        <w:t xml:space="preserve"> </w:t>
      </w:r>
      <w:r>
        <w:t xml:space="preserve">to Wells, and ~200 added commercial bankers are starting to bear fruit.</w:t>
      </w:r>
    </w:p>
    <w:p>
      <w:pPr>
        <w:pStyle w:val="Compact"/>
        <w:numPr>
          <w:ilvl w:val="0"/>
          <w:numId w:val="1002"/>
        </w:numPr>
      </w:pPr>
      <w:r>
        <w:rPr>
          <w:b/>
          <w:bCs/>
        </w:rPr>
        <w:t xml:space="preserve">Watch loan utilization.</w:t>
      </w:r>
      <w:r>
        <w:t xml:space="preserve"> </w:t>
      </w:r>
      <w:r>
        <w:t xml:space="preserve">A notable Q1 nuance: revolver utilization has</w:t>
      </w:r>
      <w:r>
        <w:t xml:space="preserve"> </w:t>
      </w:r>
      <w:r>
        <w:rPr>
          <w:i/>
          <w:iCs/>
        </w:rPr>
        <w:t xml:space="preserve">not</w:t>
      </w:r>
      <w:r>
        <w:t xml:space="preserve"> </w:t>
      </w:r>
      <w:r>
        <w:t xml:space="preserve">yet increased, so growth has come from new clients and NBFI rather than existing customers drawing down. If middle-market confidence returns, that's incremental upside; management leans toward that being more likely than a pullback.</w:t>
      </w:r>
    </w:p>
    <w:p>
      <w:pPr>
        <w:pStyle w:val="FirstParagraph"/>
      </w:pPr>
      <w:r>
        <w:t xml:space="preserve">Recent commentary echoes this — Wells has entered growth mode with loan origination activity improving significantly, though profitability hinges on managing deposit funding costs in a competitive, higher-rate environment.</w:t>
      </w:r>
    </w:p>
    <w:p>
      <w:r>
        <w:pict>
          <v:rect style="width:0;height:1.5pt" o:hralign="center" o:hrstd="t" o:hr="t"/>
        </w:pict>
      </w:r>
    </w:p>
    <w:bookmarkEnd w:id="13"/>
    <w:bookmarkStart w:id="14" w:name="Xc8f67fcba2dea05b55b6d7729aa2a3fba05b7e7"/>
    <w:p>
      <w:pPr>
        <w:pStyle w:val="Heading2"/>
      </w:pPr>
      <w:r>
        <w:t xml:space="preserve">4. Fee Income: Markets, IB Pipeline, and Wealth</w:t>
      </w:r>
    </w:p>
    <w:p>
      <w:pPr>
        <w:pStyle w:val="FirstParagraph"/>
      </w:pPr>
      <w:r>
        <w:t xml:space="preserve">Noninterest income (+8% y/y in Q1) has been a bright spot and a diversifier against NII pressure:</w:t>
      </w:r>
    </w:p>
    <w:p>
      <w:pPr>
        <w:pStyle w:val="Compact"/>
        <w:numPr>
          <w:ilvl w:val="0"/>
          <w:numId w:val="1003"/>
        </w:numPr>
      </w:pPr>
      <w:r>
        <w:rPr>
          <w:b/>
          <w:bCs/>
        </w:rPr>
        <w:t xml:space="preserve">Markets:</w:t>
      </w:r>
      <w:r>
        <w:t xml:space="preserve"> </w:t>
      </w:r>
      <w:r>
        <w:t xml:space="preserve">Up 19% y/y in Q1 (FICC +15%, Equities +21%). Watch for read-through from the strong industry trading backdrop this quarter (JPM was expected to post ~15% trading growth), aided by geopolitical volatility.</w:t>
      </w:r>
    </w:p>
    <w:p>
      <w:pPr>
        <w:pStyle w:val="Compact"/>
        <w:numPr>
          <w:ilvl w:val="0"/>
          <w:numId w:val="1003"/>
        </w:numPr>
      </w:pPr>
      <w:r>
        <w:rPr>
          <w:b/>
          <w:bCs/>
        </w:rPr>
        <w:t xml:space="preserve">Investment banking:</w:t>
      </w:r>
      <w:r>
        <w:t xml:space="preserve"> </w:t>
      </w:r>
      <w:r>
        <w:t xml:space="preserve">Entered Q2 with a "strong pipeline" driven by M&amp;A and ECM; financing markets are "wide open." IPO activity had been delayed but could reaccelerate if volatility subsides.</w:t>
      </w:r>
    </w:p>
    <w:p>
      <w:pPr>
        <w:pStyle w:val="Compact"/>
        <w:numPr>
          <w:ilvl w:val="0"/>
          <w:numId w:val="1003"/>
        </w:numPr>
      </w:pPr>
      <w:r>
        <w:rPr>
          <w:b/>
          <w:bCs/>
        </w:rPr>
        <w:t xml:space="preserve">Wealth (WIM):</w:t>
      </w:r>
      <w:r>
        <w:t xml:space="preserve"> </w:t>
      </w:r>
      <w:r>
        <w:t xml:space="preserve">Client assets hit $2.2T (+11%). Note a modeling wrinkle: most WIM advisory assets are priced at the</w:t>
      </w:r>
      <w:r>
        <w:t xml:space="preserve"> </w:t>
      </w:r>
      <w:r>
        <w:rPr>
          <w:i/>
          <w:iCs/>
        </w:rPr>
        <w:t xml:space="preserve">beginning</w:t>
      </w:r>
      <w:r>
        <w:t xml:space="preserve"> </w:t>
      </w:r>
      <w:r>
        <w:t xml:space="preserve">of the quarter, so Q2 fees reflect April 1 market levels (down vs. Jan 1, up y/y).</w:t>
      </w:r>
    </w:p>
    <w:p>
      <w:r>
        <w:pict>
          <v:rect style="width:0;height:1.5pt" o:hralign="center" o:hrstd="t" o:hr="t"/>
        </w:pict>
      </w:r>
    </w:p>
    <w:bookmarkEnd w:id="14"/>
    <w:bookmarkStart w:id="15" w:name="X505365eb45bd5364313de070e002aa80c74c8fa"/>
    <w:p>
      <w:pPr>
        <w:pStyle w:val="Heading2"/>
      </w:pPr>
      <w:r>
        <w:t xml:space="preserve">5. Credit Quality &amp; the NBFI/Private Credit Question</w:t>
      </w:r>
    </w:p>
    <w:p>
      <w:pPr>
        <w:pStyle w:val="FirstParagraph"/>
      </w:pPr>
      <w:r>
        <w:t xml:space="preserve">Credit remains benign but is the area drawing the most scrutiny industry-wide.</w:t>
      </w:r>
    </w:p>
    <w:p>
      <w:pPr>
        <w:pStyle w:val="Compact"/>
        <w:numPr>
          <w:ilvl w:val="0"/>
          <w:numId w:val="1004"/>
        </w:numPr>
      </w:pPr>
      <w:r>
        <w:rPr>
          <w:b/>
          <w:bCs/>
        </w:rPr>
        <w:t xml:space="preserve">Stable metrics:</w:t>
      </w:r>
      <w:r>
        <w:t xml:space="preserve"> </w:t>
      </w:r>
      <w:r>
        <w:t xml:space="preserve">Q1 net charge-offs were 45 bps (flat y/y); commercial 24 bps, consumer 78 bps (seasonal card). NPAs stable at 0.86% of loans.</w:t>
      </w:r>
    </w:p>
    <w:p>
      <w:pPr>
        <w:pStyle w:val="Compact"/>
        <w:numPr>
          <w:ilvl w:val="0"/>
          <w:numId w:val="1004"/>
        </w:numPr>
      </w:pPr>
      <w:r>
        <w:rPr>
          <w:b/>
          <w:bCs/>
        </w:rPr>
        <w:t xml:space="preserve">The NBFI deep-dive:</w:t>
      </w:r>
      <w:r>
        <w:t xml:space="preserve"> </w:t>
      </w:r>
      <w:r>
        <w:t xml:space="preserve">WFC spent significant airtime last quarter walking through its ~</w:t>
      </w:r>
      <w:r>
        <w:t xml:space="preserve">$210B "financials except banks" book (21% of loans), emphasizing heavy secured structures, low advance rates (&lt;60% weighted average in corporate debt finance), diversification, and strong historical performance. Private credit exposure sits mainly in the ~$</w:t>
      </w:r>
      <w:r>
        <w:t xml:space="preserve">36B corporate debt finance bucket.</w:t>
      </w:r>
    </w:p>
    <w:p>
      <w:pPr>
        <w:pStyle w:val="Compact"/>
        <w:numPr>
          <w:ilvl w:val="0"/>
          <w:numId w:val="1004"/>
        </w:numPr>
      </w:pPr>
      <w:r>
        <w:rPr>
          <w:b/>
          <w:bCs/>
        </w:rPr>
        <w:t xml:space="preserve">The fraud loss to watch:</w:t>
      </w:r>
      <w:r>
        <w:t xml:space="preserve"> </w:t>
      </w:r>
      <w:r>
        <w:t xml:space="preserve">Q1 included a single fraud-related loss in the real-estate-finance portion of the NBFI book. Management reviewed the portfolio, brought in independent teams, and concluded it was isolated.</w:t>
      </w:r>
      <w:r>
        <w:t xml:space="preserve"> </w:t>
      </w:r>
      <w:r>
        <w:rPr>
          <w:b/>
          <w:bCs/>
        </w:rPr>
        <w:t xml:space="preserve">Any commentary confirming no follow-on issues would remove an overhang; a second incident would be a meaningful negative.</w:t>
      </w:r>
    </w:p>
    <w:p>
      <w:pPr>
        <w:pStyle w:val="Compact"/>
        <w:numPr>
          <w:ilvl w:val="0"/>
          <w:numId w:val="1004"/>
        </w:numPr>
      </w:pPr>
      <w:r>
        <w:rPr>
          <w:b/>
          <w:bCs/>
        </w:rPr>
        <w:t xml:space="preserve">Reserves:</w:t>
      </w:r>
      <w:r>
        <w:t xml:space="preserve"> </w:t>
      </w:r>
      <w:r>
        <w:t xml:space="preserve">WFC maintains a significant weighting toward downside scenarios (peak unemployment assumption ~6%). Watch for allowance builds tied to loan growth — management has flagged that strong growth mechanically requires adding to reserves.</w:t>
      </w:r>
    </w:p>
    <w:p>
      <w:pPr>
        <w:pStyle w:val="Compact"/>
        <w:numPr>
          <w:ilvl w:val="0"/>
          <w:numId w:val="1004"/>
        </w:numPr>
      </w:pPr>
      <w:r>
        <w:rPr>
          <w:b/>
          <w:bCs/>
        </w:rPr>
        <w:t xml:space="preserve">Macro nuance:</w:t>
      </w:r>
      <w:r>
        <w:t xml:space="preserve"> </w:t>
      </w:r>
      <w:r>
        <w:t xml:space="preserve">Higher oil/energy prices (following the Iran conflict that spiked fuel costs) were flagged as a likely 2H drag on lower-income consumers, though the bifurcation theme — resilient high-income, stressed low-income — persists.</w:t>
      </w:r>
    </w:p>
    <w:p>
      <w:r>
        <w:pict>
          <v:rect style="width:0;height:1.5pt" o:hralign="center" o:hrstd="t" o:hr="t"/>
        </w:pict>
      </w:r>
    </w:p>
    <w:bookmarkEnd w:id="15"/>
    <w:bookmarkStart w:id="16" w:name="X94a7aca4010d196dcf32bee0bf33ca0f5268d3c"/>
    <w:p>
      <w:pPr>
        <w:pStyle w:val="Heading2"/>
      </w:pPr>
      <w:r>
        <w:t xml:space="preserve">6. Capital Return &amp; Basel III Endgame</w:t>
      </w:r>
    </w:p>
    <w:p>
      <w:pPr>
        <w:pStyle w:val="FirstParagraph"/>
      </w:pPr>
      <w:r>
        <w:t xml:space="preserve">Arguably the most underappreciated part of the story:</w:t>
      </w:r>
    </w:p>
    <w:p>
      <w:pPr>
        <w:pStyle w:val="Compact"/>
        <w:numPr>
          <w:ilvl w:val="0"/>
          <w:numId w:val="1005"/>
        </w:numPr>
      </w:pPr>
      <w:r>
        <w:rPr>
          <w:b/>
          <w:bCs/>
        </w:rPr>
        <w:t xml:space="preserve">Buybacks:</w:t>
      </w:r>
      <w:r>
        <w:t xml:space="preserve"> </w:t>
      </w:r>
      <m:oMath>
        <m:r>
          <m:t>4.0</m:t>
        </m:r>
        <m:r>
          <m:t>B</m:t>
        </m:r>
        <m:r>
          <m:t>o</m:t>
        </m:r>
        <m:r>
          <m:t>f</m:t>
        </m:r>
        <m:r>
          <m:t>c</m:t>
        </m:r>
        <m:r>
          <m:t>o</m:t>
        </m:r>
        <m:r>
          <m:t>m</m:t>
        </m:r>
        <m:r>
          <m:t>m</m:t>
        </m:r>
        <m:r>
          <m:t>o</m:t>
        </m:r>
        <m:r>
          <m:t>n</m:t>
        </m:r>
        <m:r>
          <m:t>r</m:t>
        </m:r>
        <m:r>
          <m:t>e</m:t>
        </m:r>
        <m:r>
          <m:t>p</m:t>
        </m:r>
        <m:r>
          <m:t>u</m:t>
        </m:r>
        <m:r>
          <m:t>r</m:t>
        </m:r>
        <m:r>
          <m:t>c</m:t>
        </m:r>
        <m:r>
          <m:t>h</m:t>
        </m:r>
        <m:r>
          <m:t>a</m:t>
        </m:r>
        <m:r>
          <m:t>s</m:t>
        </m:r>
        <m:r>
          <m:t>e</m:t>
        </m:r>
        <m:r>
          <m:t>s</m:t>
        </m:r>
        <m:r>
          <m:t>i</m:t>
        </m:r>
        <m:r>
          <m:t>n</m:t>
        </m:r>
        <m:r>
          <m:t>Q</m:t>
        </m:r>
        <m:r>
          <m:t>1</m:t>
        </m:r>
        <m:r>
          <m:rPr>
            <m:sty m:val="p"/>
          </m:rPr>
          <m:t>(</m:t>
        </m:r>
      </m:oMath>
      <w:r>
        <w:t xml:space="preserve">5.4B total return); shares down ~6% y/y. CET1 at 10.3%, mid-range of the 10.0–10.5% target, with "significant excess capital."</w:t>
      </w:r>
    </w:p>
    <w:p>
      <w:pPr>
        <w:pStyle w:val="Compact"/>
        <w:numPr>
          <w:ilvl w:val="0"/>
          <w:numId w:val="1005"/>
        </w:numPr>
      </w:pPr>
      <w:r>
        <w:rPr>
          <w:b/>
          <w:bCs/>
        </w:rPr>
        <w:t xml:space="preserve">Basel III endgame is a tailwind:</w:t>
      </w:r>
      <w:r>
        <w:t xml:space="preserve"> </w:t>
      </w:r>
      <w:r>
        <w:t xml:space="preserve">Under the proposed rules, WFC estimates RWAs could fall ~7% (driven by credit-risk relief on investment-grade credits and mortgages), with the GSIB surcharge staying ~1.5%. Management hinted there is "a place to go" on the CET1 target once rules finalize — i.e., potential for lower required capital and more return capacity, though they won't reset the target until finalization (~a year out).</w:t>
      </w:r>
    </w:p>
    <w:p>
      <w:pPr>
        <w:pStyle w:val="Compact"/>
        <w:numPr>
          <w:ilvl w:val="0"/>
          <w:numId w:val="1005"/>
        </w:numPr>
      </w:pPr>
      <w:r>
        <w:rPr>
          <w:b/>
          <w:bCs/>
        </w:rPr>
        <w:t xml:space="preserve">Watch for a dividend/buyback update</w:t>
      </w:r>
      <w:r>
        <w:t xml:space="preserve"> </w:t>
      </w:r>
      <w:r>
        <w:t xml:space="preserve">following the latest stress-test cycle.</w:t>
      </w:r>
    </w:p>
    <w:p>
      <w:r>
        <w:pict>
          <v:rect style="width:0;height:1.5pt" o:hralign="center" o:hrstd="t" o:hr="t"/>
        </w:pict>
      </w:r>
    </w:p>
    <w:bookmarkEnd w:id="16"/>
    <w:bookmarkStart w:id="17" w:name="X3b0d32f5368b7f27b6b6172efc91c9a9d43d0b7"/>
    <w:p>
      <w:pPr>
        <w:pStyle w:val="Heading2"/>
      </w:pPr>
      <w:r>
        <w:t xml:space="preserve">7. The ROTCE Question</w:t>
      </w:r>
    </w:p>
    <w:p>
      <w:pPr>
        <w:pStyle w:val="FirstParagraph"/>
      </w:pPr>
      <w:r>
        <w:t xml:space="preserve">Management reiterated "as confident as ever" in the path from ~15% today to a</w:t>
      </w:r>
      <w:r>
        <w:t xml:space="preserve"> </w:t>
      </w:r>
      <w:r>
        <w:rPr>
          <w:b/>
          <w:bCs/>
        </w:rPr>
        <w:t xml:space="preserve">17–18% medium-term ROTCE</w:t>
      </w:r>
      <w:r>
        <w:t xml:space="preserve"> </w:t>
      </w:r>
      <w:r>
        <w:t xml:space="preserve">target — but the Street (notably BofA's Ebrahim Poonawala) has openly questioned whether the timeline is realistic given NIM headwinds. The bridge management points to: maturing credit-card vintages, wealth (Premier) fee growth, commercial banker productivity, IB monetization, markets scaling at accretive returns, expense discipline, and capital optimization. The repo-driven ROA drag is expected to be</w:t>
      </w:r>
      <w:r>
        <w:t xml:space="preserve"> </w:t>
      </w:r>
      <w:r>
        <w:rPr>
          <w:i/>
          <w:iCs/>
        </w:rPr>
        <w:t xml:space="preserve">dilutive to ROA but not ROTCE</w:t>
      </w:r>
      <w:r>
        <w:t xml:space="preserve">. Expect this to be a heavily-asked topic again.</w:t>
      </w:r>
    </w:p>
    <w:p>
      <w:r>
        <w:pict>
          <v:rect style="width:0;height:1.5pt" o:hralign="center" o:hrstd="t" o:hr="t"/>
        </w:pict>
      </w:r>
    </w:p>
    <w:bookmarkEnd w:id="17"/>
    <w:bookmarkStart w:id="18" w:name="Xc5aa836824409bb364d0e5615b7008963ffaa7b"/>
    <w:p>
      <w:pPr>
        <w:pStyle w:val="Heading2"/>
      </w:pPr>
      <w:r>
        <w:t xml:space="preserve">8. Expenses</w:t>
      </w:r>
    </w:p>
    <w:p>
      <w:pPr>
        <w:pStyle w:val="FirstParagraph"/>
      </w:pPr>
      <w:r>
        <w:t xml:space="preserve">Full-year noninterest expense guide of</w:t>
      </w:r>
      <w:r>
        <w:t xml:space="preserve"> </w:t>
      </w:r>
      <w:r>
        <w:rPr>
          <w:b/>
          <w:bCs/>
        </w:rPr>
        <w:t xml:space="preserve">~$55.7B</w:t>
      </w:r>
      <w:r>
        <w:t xml:space="preserve"> </w:t>
      </w:r>
      <w:r>
        <w:t xml:space="preserve">was reaffirmed at Q1 (Q1 came in on plan). The only real upward pressure flagged is</w:t>
      </w:r>
      <w:r>
        <w:t xml:space="preserve"> </w:t>
      </w:r>
      <w:r>
        <w:rPr>
          <w:i/>
          <w:iCs/>
        </w:rPr>
        <w:t xml:space="preserve">revenue-related</w:t>
      </w:r>
      <w:r>
        <w:t xml:space="preserve"> </w:t>
      </w:r>
      <w:r>
        <w:t xml:space="preserve">comp in wealth — a "good" cost that's more than offset by fees. Continued efficiency initiatives (23+ consecutive quarters of headcount reduction) fund investment in tech/AI (Fargo assistant surpassed 1B interactions) and advertising. Watch the efficiency ratio (67% in Q1) for evidence of positive operating leverage.</w:t>
      </w:r>
    </w:p>
    <w:p>
      <w:r>
        <w:pict>
          <v:rect style="width:0;height:1.5pt" o:hralign="center" o:hrstd="t" o:hr="t"/>
        </w:pict>
      </w:r>
    </w:p>
    <w:bookmarkEnd w:id="18"/>
    <w:bookmarkStart w:id="19" w:name="Xc955d8e36493abec5d56b81a686dfcc22ad387a"/>
    <w:p>
      <w:pPr>
        <w:pStyle w:val="Heading2"/>
      </w:pPr>
      <w:r>
        <w:t xml:space="preserve">9. Stock, Valuation &amp; Positioning</w:t>
      </w:r>
    </w:p>
    <w:p>
      <w:pPr>
        <w:pStyle w:val="Compact"/>
        <w:numPr>
          <w:ilvl w:val="0"/>
          <w:numId w:val="1006"/>
        </w:numPr>
      </w:pPr>
      <w:r>
        <w:rPr>
          <w:b/>
          <w:bCs/>
        </w:rPr>
        <w:t xml:space="preserve">A relative laggard:</w:t>
      </w:r>
      <w:r>
        <w:t xml:space="preserve"> </w:t>
      </w:r>
      <w:r>
        <w:t xml:space="preserve">WFC is roughly flat-to-down year-to-date (~</w:t>
      </w:r>
      <m:oMath>
        <m:r>
          <m:t>93</m:t>
        </m:r>
        <m:r>
          <m:t>a</m:t>
        </m:r>
        <m:r>
          <m:t>t</m:t>
        </m:r>
        <m:r>
          <m:t>e</m:t>
        </m:r>
        <m:r>
          <m:t>n</m:t>
        </m:r>
        <m:r>
          <m:t>d</m:t>
        </m:r>
        <m:r>
          <m:rPr>
            <m:sty m:val="p"/>
          </m:rPr>
          <m:t>−</m:t>
        </m:r>
        <m:r>
          <m:t>2025</m:t>
        </m:r>
        <m:r>
          <m:t>v</m:t>
        </m:r>
        <m:r>
          <m:t>s</m:t>
        </m:r>
        <m:r>
          <m:rPr>
            <m:sty m:val="p"/>
          </m:rPr>
          <m:t>.</m:t>
        </m:r>
        <m:r>
          <m:t> </m:t>
        </m:r>
      </m:oMath>
      <w:r>
        <w:t xml:space="preserve">88 now), materially trailing BAC (up high-single-digits) and the broader bank ETF, which had gained double digits. The stock cratered to ~$73 in May before recovering.</w:t>
      </w:r>
    </w:p>
    <w:p>
      <w:pPr>
        <w:pStyle w:val="Compact"/>
        <w:numPr>
          <w:ilvl w:val="0"/>
          <w:numId w:val="1006"/>
        </w:numPr>
      </w:pPr>
      <w:r>
        <w:rPr>
          <w:b/>
          <w:bCs/>
        </w:rPr>
        <w:t xml:space="preserve">Cheap and under-owned:</w:t>
      </w:r>
      <w:r>
        <w:t xml:space="preserve"> </w:t>
      </w:r>
      <w:r>
        <w:t xml:space="preserve">WFC trades around ~11x forward earnings. UBS's Erika Najarian expressed a preference for Wells into bank earnings, noting "no one is talking about the stock" — a contrast to the crowded long-Goldman/short-Morgan-Stanley trade she called dangerous. The setup favors an unloved name that can surprise.</w:t>
      </w:r>
    </w:p>
    <w:p>
      <w:pPr>
        <w:pStyle w:val="Compact"/>
        <w:numPr>
          <w:ilvl w:val="0"/>
          <w:numId w:val="1006"/>
        </w:numPr>
      </w:pPr>
      <w:r>
        <w:rPr>
          <w:b/>
          <w:bCs/>
        </w:rPr>
        <w:t xml:space="preserve">Bar/risk:</w:t>
      </w:r>
      <w:r>
        <w:t xml:space="preserve"> </w:t>
      </w:r>
      <w:r>
        <w:t xml:space="preserve">Bears (per Barron's-type coverage) point to sub-elite ROE (~15% expected this year), NIM erosion, and the Q1 slight NII miss. With sentiment muted, the risk/reward may be asymmetric to the upside</w:t>
      </w:r>
      <w:r>
        <w:t xml:space="preserve"> </w:t>
      </w:r>
      <w:r>
        <w:rPr>
          <w:i/>
          <w:iCs/>
        </w:rPr>
        <w:t xml:space="preserve">if</w:t>
      </w:r>
      <w:r>
        <w:t xml:space="preserve"> </w:t>
      </w:r>
      <w:r>
        <w:t xml:space="preserve">NII stabilizes and credit stays clean.</w:t>
      </w:r>
    </w:p>
    <w:p>
      <w:r>
        <w:pict>
          <v:rect style="width:0;height:1.5pt" o:hralign="center" o:hrstd="t" o:hr="t"/>
        </w:pict>
      </w:r>
    </w:p>
    <w:bookmarkEnd w:id="19"/>
    <w:bookmarkStart w:id="20" w:name="bottom-line--what-to-watch-tuesday"/>
    <w:p>
      <w:pPr>
        <w:pStyle w:val="Heading2"/>
      </w:pPr>
      <w:r>
        <w:t xml:space="preserve">Bottom Line — What to Watch Tuesday</w:t>
      </w:r>
    </w:p>
    <w:p>
      <w:pPr>
        <w:pStyle w:val="Compact"/>
        <w:numPr>
          <w:ilvl w:val="0"/>
          <w:numId w:val="1007"/>
        </w:numPr>
      </w:pPr>
      <w:r>
        <w:rPr>
          <w:b/>
          <w:bCs/>
        </w:rPr>
        <w:t xml:space="preserve">NII trajectory &amp; the "ex-markets" line</w:t>
      </w:r>
      <w:r>
        <w:t xml:space="preserve"> </w:t>
      </w:r>
      <w:r>
        <w:t xml:space="preserve">— does core spread stabilize? Is the ~$50B full-year guide reaffirmed or nudged up on "higher-for-longer" rates?</w:t>
      </w:r>
    </w:p>
    <w:p>
      <w:pPr>
        <w:pStyle w:val="Compact"/>
        <w:numPr>
          <w:ilvl w:val="0"/>
          <w:numId w:val="1007"/>
        </w:numPr>
      </w:pPr>
      <w:r>
        <w:rPr>
          <w:b/>
          <w:bCs/>
        </w:rPr>
        <w:t xml:space="preserve">NIM</w:t>
      </w:r>
      <w:r>
        <w:t xml:space="preserve"> </w:t>
      </w:r>
      <w:r>
        <w:t xml:space="preserve">— magnitude of further compression and whether management signals a trough.</w:t>
      </w:r>
    </w:p>
    <w:p>
      <w:pPr>
        <w:pStyle w:val="Compact"/>
        <w:numPr>
          <w:ilvl w:val="0"/>
          <w:numId w:val="1007"/>
        </w:numPr>
      </w:pPr>
      <w:r>
        <w:rPr>
          <w:b/>
          <w:bCs/>
        </w:rPr>
        <w:t xml:space="preserve">Loan growth</w:t>
      </w:r>
      <w:r>
        <w:t xml:space="preserve"> </w:t>
      </w:r>
      <w:r>
        <w:t xml:space="preserve">— confirmation it's tracking above mid-single digits; any pickup in revolver utilization.</w:t>
      </w:r>
    </w:p>
    <w:p>
      <w:pPr>
        <w:pStyle w:val="Compact"/>
        <w:numPr>
          <w:ilvl w:val="0"/>
          <w:numId w:val="1007"/>
        </w:numPr>
      </w:pPr>
      <w:r>
        <w:rPr>
          <w:b/>
          <w:bCs/>
        </w:rPr>
        <w:t xml:space="preserve">Credit / NBFI</w:t>
      </w:r>
      <w:r>
        <w:t xml:space="preserve"> </w:t>
      </w:r>
      <w:r>
        <w:t xml:space="preserve">— no new fraud or private-credit surprises; reserve build commentary.</w:t>
      </w:r>
    </w:p>
    <w:p>
      <w:pPr>
        <w:pStyle w:val="Compact"/>
        <w:numPr>
          <w:ilvl w:val="0"/>
          <w:numId w:val="1007"/>
        </w:numPr>
      </w:pPr>
      <w:r>
        <w:rPr>
          <w:b/>
          <w:bCs/>
        </w:rPr>
        <w:t xml:space="preserve">Capital</w:t>
      </w:r>
      <w:r>
        <w:t xml:space="preserve"> </w:t>
      </w:r>
      <w:r>
        <w:t xml:space="preserve">— buyback pace, CET1, and any forward signal on the target given Basel III relief.</w:t>
      </w:r>
    </w:p>
    <w:p>
      <w:pPr>
        <w:pStyle w:val="Compact"/>
        <w:numPr>
          <w:ilvl w:val="0"/>
          <w:numId w:val="1007"/>
        </w:numPr>
      </w:pPr>
      <w:r>
        <w:rPr>
          <w:b/>
          <w:bCs/>
        </w:rPr>
        <w:t xml:space="preserve">Fee momentum</w:t>
      </w:r>
      <w:r>
        <w:t xml:space="preserve"> </w:t>
      </w:r>
      <w:r>
        <w:t xml:space="preserve">— IB pipeline conversion, markets strength, wealth flows.</w:t>
      </w:r>
    </w:p>
    <w:p>
      <w:pPr>
        <w:pStyle w:val="Compact"/>
        <w:numPr>
          <w:ilvl w:val="0"/>
          <w:numId w:val="1007"/>
        </w:numPr>
      </w:pPr>
      <w:r>
        <w:rPr>
          <w:b/>
          <w:bCs/>
        </w:rPr>
        <w:t xml:space="preserve">ROTCE confidence</w:t>
      </w:r>
      <w:r>
        <w:t xml:space="preserve"> </w:t>
      </w:r>
      <w:r>
        <w:t xml:space="preserve">— does management hold the 17–18% line convincingly?</w:t>
      </w:r>
    </w:p>
    <w:p>
      <w:pPr>
        <w:pStyle w:val="FirstParagraph"/>
      </w:pPr>
      <w:r>
        <w:t xml:space="preserve">The stock's muted YTD performance and light positioning mean a clean beat with reassuring NII and credit commentary could drive outsized upside; conversely, any crack in the NBFI narrative or a soft NII guide would validate the bears.</w:t>
      </w:r>
    </w:p>
    <w:p>
      <w:pPr>
        <w:pStyle w:val="BodyText"/>
      </w:pPr>
      <w:r>
        <w:rPr>
          <w:i/>
          <w:iCs/>
        </w:rPr>
        <w:t xml:space="preserve">Note: Figures reflect consensus estimates and prior-quarter (Q1 2026) actuals/guidance drawn from WFC's earnings materials, transcripts, and recent news; actual results and any updated guidance will be reported with the Q2 release.</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2026-07-14T01:21:52Z</dcterms:created>
  <dcterms:modified xsi:type="dcterms:W3CDTF">2026-07-14T01:21:52Z</dcterms:modified>
</cp:coreProperties>
</file>

<file path=docProps/custom.xml><?xml version="1.0" encoding="utf-8"?>
<Properties xmlns="http://schemas.openxmlformats.org/officeDocument/2006/custom-properties" xmlns:vt="http://schemas.openxmlformats.org/officeDocument/2006/docPropsVTypes"/>
</file>