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fc-earnings-predictions--2026-07-14"/>
    <w:p>
      <w:pPr>
        <w:pStyle w:val="Heading1"/>
      </w:pPr>
      <w:r>
        <w:t xml:space="preserve">WFC Earnings Predictions — 2026-07-14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~$1.86 vs. cons $1.71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 (NII)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~$12.50B vs. cons $12.36B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Noninterest Expense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~$13.70B vs. cons $13.90B (lower=beat)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Interest Income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~$50.0B vs. cons $50.0B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Noninterest Expense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~$55.7B vs. cons $55.7B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Medium-term ROTCE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~17.5% vs. cons 17.5% (medium-term, 2027-2028)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-1.8% (FADE)</w:t>
            </w:r>
          </w:p>
        </w:tc>
        <w:tc>
          <w:tcPr/>
          <w:p>
            <w:pPr>
              <w:pStyle w:val="Compact"/>
            </w:pPr>
            <w:r>
              <w:t xml:space="preserve">Stock already ran from low-</w:t>
            </w:r>
            <m:oMath>
              <m:r>
                <m:t>80</m:t>
              </m:r>
              <m:r>
                <m:t>s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87-88 into the print, pricing in a beat-and-cost-discipline quarter; a headline EPS beat driven mainly by expense control/buybacks rather than core NII reacceleration likely triggers modest sell-the-news on day 1. Over the next week, analysts digest reaffirmed (not raised) $50B NII guide, continued NIM compression commentary, and flagged H2 consumer credit risk from oil-price pass-through — pulling forward FY26/27 NII and EPS revisions down slightly even after the beat, consistent with implicit out-period cuts overwhelming the in-line-to-modest quarterly upside.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2026-07-14T01:46:39Z</dcterms:created>
  <dcterms:modified xsi:type="dcterms:W3CDTF">2026-07-14T01:46:39Z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