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fc-earnings-predictions--2026-07-14"/>
    <w:p>
      <w:pPr>
        <w:pStyle w:val="Heading1"/>
      </w:pPr>
      <w:r>
        <w:t xml:space="preserve">WFC Earnings Predictions — 2026-07-14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~$1.74 vs. cons $1.71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~$12.39B vs. cons $12.36B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Noninterest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~$9.53B vs. cons $9.38B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interest income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~$50.0B vs. cons $50.0B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Noninterest expense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~$55.7B vs. cons $55.7B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+2.1% (STABILIZE)</w:t>
            </w:r>
          </w:p>
        </w:tc>
        <w:tc>
          <w:tcPr/>
          <w:p>
            <w:pPr>
              <w:pStyle w:val="Compact"/>
            </w:pPr>
            <w:r>
              <w:t xml:space="preserve">A fee-led EPS beat should support the initial reaction, but unchanged FY2026 NII guidance leaves implied 2H26 NII at ~</w:t>
            </w:r>
            <m:oMath>
              <m:r>
                <m:t>25.5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S</m:t>
              </m:r>
              <m:r>
                <m:t>t</m:t>
              </m:r>
              <m:r>
                <m:t>r</m:t>
              </m:r>
              <m:r>
                <m:t>e</m:t>
              </m:r>
              <m:r>
                <m:t>e</m:t>
              </m:r>
              <m:r>
                <m:t>t</m:t>
              </m:r>
              <m:r>
                <m:t> </m:t>
              </m:r>
            </m:oMath>
            <w:r>
              <w:t xml:space="preserve">25.5B, limiting out-period estimate revisions and causing the move to stabilize.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2026-07-14T01:24:08Z</dcterms:created>
  <dcterms:modified xsi:type="dcterms:W3CDTF">2026-07-14T01:24:08Z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