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fc-earnings-predictions--2026-07-14"/>
    <w:p>
      <w:pPr>
        <w:pStyle w:val="Heading1"/>
      </w:pPr>
      <w:r>
        <w:t xml:space="preserve">WFC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~$1.78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~$22.04B vs. cons $21.77B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~$12.43B vs. cons $12.36B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interest income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~$50.0B vs. cons $50.0B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noninterest-expense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~$55.7B vs. cons $55.7B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CET1 operating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~10.0%-10.5% vs. cons 10.3%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~$1.78 EPS result versus</w:t>
            </w:r>
            <w:r>
              <w:t xml:space="preserve"> </w:t>
            </w:r>
            <m:oMath>
              <m:r>
                <m:t>1.71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22.04B revenue versus</w:t>
            </w:r>
            <w:r>
              <w:t xml:space="preserve"> </w:t>
            </w:r>
            <m:oMath>
              <m:r>
                <m:t>21.77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a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N</m:t>
              </m:r>
              <m:r>
                <m:t>I</m:t>
              </m:r>
              <m:r>
                <m:t>I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50.0B versus Street ~$50.0B leaves little incremental out-period earnings revision. The stock should retain part of the gain as expense execution and post-cap growth validate the setup, but follow-through is capped by unchanged NII math and continued NIM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2026-07-14T01:22:08Z</dcterms:created>
  <dcterms:modified xsi:type="dcterms:W3CDTF">2026-07-14T01:22:08Z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