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59ef38ace18e79d9bae4fe9e8f2fd07657c8c"/>
    <w:p>
      <w:pPr>
        <w:pStyle w:val="Heading1"/>
      </w:pPr>
      <w:r>
        <w:t xml:space="preserve">Wells Fargo (NYSE: WFC) — 2Q26 Earnings Preview</w:t>
      </w:r>
    </w:p>
    <w:p>
      <w:pPr>
        <w:pStyle w:val="FirstParagraph"/>
      </w:pPr>
      <w:r>
        <w:rPr>
          <w:b/>
          <w:bCs/>
        </w:rPr>
        <w:t xml:space="preserve">Event:</w:t>
      </w:r>
      <w:r>
        <w:t xml:space="preserve"> </w:t>
      </w:r>
      <w:r>
        <w:t xml:space="preserve">Tuesday, July 14, 2026, before market open</w:t>
      </w:r>
      <w:r>
        <w:br/>
      </w:r>
      <w:r>
        <w:rPr>
          <w:b/>
          <w:bCs/>
        </w:rPr>
        <w:t xml:space="preserve">Call:</w:t>
      </w:r>
      <w:r>
        <w:t xml:space="preserve"> </w:t>
      </w:r>
      <w:r>
        <w:t xml:space="preserve">10:00 a.m. ET</w:t>
      </w:r>
      <w:r>
        <w:br/>
      </w:r>
      <w:r>
        <w:rPr>
          <w:b/>
          <w:bCs/>
        </w:rPr>
        <w:t xml:space="preserve">Bottom line:</w:t>
      </w:r>
      <w:r>
        <w:t xml:space="preserve"> </w:t>
      </w:r>
      <w:r>
        <w:t xml:space="preserve">This report is less about a one-quarter EPS beat and more about whether Wells Fargo is converting its post–asset-cap growth opportunity into</w:t>
      </w:r>
      <w:r>
        <w:t xml:space="preserve"> </w:t>
      </w:r>
      <w:r>
        <w:rPr>
          <w:b/>
          <w:bCs/>
        </w:rPr>
        <w:t xml:space="preserve">durable revenue growth, controlled expenses, and improving returns</w:t>
      </w:r>
      <w:r>
        <w:t xml:space="preserve">. The key debate is whether accelerating loan/deposit growth and fee momentum can offset near-term</w:t>
      </w:r>
      <w:r>
        <w:t xml:space="preserve"> </w:t>
      </w:r>
      <w:r>
        <w:rPr>
          <w:b/>
          <w:bCs/>
        </w:rPr>
        <w:t xml:space="preserve">net interest margin (NIM) compression</w:t>
      </w:r>
      <w:r>
        <w:t xml:space="preserve"> </w:t>
      </w:r>
      <w:r>
        <w:t xml:space="preserve">and a potentially less benign credit backdrop.</w:t>
      </w:r>
    </w:p>
    <w:bookmarkStart w:id="9" w:name="what-the-market-expects"/>
    <w:p>
      <w:pPr>
        <w:pStyle w:val="Heading2"/>
      </w:pPr>
      <w:r>
        <w:t xml:space="preserve">What the market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2Q25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$21.77B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$20.82B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$21.45B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$12.36B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$11.71B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$12.10B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Noninterest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$9.38B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$9.11B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$9.35B</w:t>
            </w:r>
          </w:p>
        </w:tc>
      </w:tr>
    </w:tbl>
    <w:p>
      <w:pPr>
        <w:pStyle w:val="BodyText"/>
      </w:pPr>
      <w:r>
        <w:rPr>
          <w:i/>
          <w:iCs/>
        </w:rPr>
        <w:t xml:space="preserve">Consensus figures reflect estimates reported July 10 and may have moved into the print.</w:t>
      </w:r>
    </w:p>
    <w:p>
      <w:pPr>
        <w:pStyle w:val="BodyText"/>
      </w:pPr>
      <w:r>
        <w:t xml:space="preserve">At face value, consensus calls for modest EPS growth and a meaningful step-up in revenue versus the year-ago period. The quality of that revenue—core NII, fees, Markets, and investment banking—will matter more than the headline.</w:t>
      </w:r>
    </w:p>
    <w:bookmarkEnd w:id="9"/>
    <w:bookmarkStart w:id="11" w:name="Xe9b3525e7284361cb0c4b72b5d7156a767cf899"/>
    <w:p>
      <w:pPr>
        <w:pStyle w:val="Heading2"/>
      </w:pPr>
      <w:r>
        <w:t xml:space="preserve">The central investment question: can growth overcome margin pressure?</w:t>
      </w:r>
    </w:p>
    <w:p>
      <w:pPr>
        <w:pStyle w:val="FirstParagraph"/>
      </w:pPr>
      <w:r>
        <w:t xml:space="preserve">Wells exited 1Q with genuine commercial momentum:</w:t>
      </w:r>
    </w:p>
    <w:p>
      <w:pPr>
        <w:pStyle w:val="Compact"/>
        <w:numPr>
          <w:ilvl w:val="0"/>
          <w:numId w:val="1001"/>
        </w:numPr>
      </w:pPr>
      <w:r>
        <w:t xml:space="preserve">Average loans rose</w:t>
      </w:r>
      <w:r>
        <w:t xml:space="preserve"> </w:t>
      </w:r>
      <w:r>
        <w:rPr>
          <w:b/>
          <w:bCs/>
        </w:rPr>
        <w:t xml:space="preserve">10% year over year</w:t>
      </w:r>
      <w:r>
        <w:t xml:space="preserve"> </w:t>
      </w:r>
      <w:r>
        <w:t xml:space="preserve">to</w:t>
      </w:r>
      <w:r>
        <w:t xml:space="preserve"> </w:t>
      </w:r>
      <m:oMath>
        <m:r>
          <m:t>996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p</m:t>
        </m:r>
        <m:r>
          <m:t>e</m:t>
        </m:r>
        <m:r>
          <m:t>r</m:t>
        </m:r>
        <m:r>
          <m:t>i</m:t>
        </m:r>
        <m:r>
          <m:t>o</m:t>
        </m:r>
        <m:r>
          <m:t>d</m:t>
        </m:r>
        <m:r>
          <m:rPr>
            <m:sty m:val="p"/>
          </m:rPr>
          <m:t>−</m:t>
        </m:r>
        <m:r>
          <m:t>e</m:t>
        </m:r>
        <m:r>
          <m:t>n</m:t>
        </m:r>
        <m:r>
          <m:t>d</m:t>
        </m:r>
        <m:r>
          <m:t>l</m:t>
        </m:r>
        <m:r>
          <m:t>o</m:t>
        </m:r>
        <m:r>
          <m:t>a</m:t>
        </m:r>
        <m:r>
          <m:t>n</m:t>
        </m:r>
        <m:r>
          <m:t>s</m:t>
        </m:r>
        <m:r>
          <m:t>e</m:t>
        </m:r>
        <m:r>
          <m:t>x</m:t>
        </m:r>
        <m:r>
          <m:t>c</m:t>
        </m:r>
        <m:r>
          <m:t>e</m:t>
        </m:r>
        <m:r>
          <m:t>e</m:t>
        </m:r>
        <m:r>
          <m:t>d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1T</w:t>
      </w:r>
      <w:r>
        <w:t xml:space="preserve"> </w:t>
      </w:r>
      <w:r>
        <w:t xml:space="preserve">for the first time since early 2020.</w:t>
      </w:r>
    </w:p>
    <w:p>
      <w:pPr>
        <w:pStyle w:val="Compact"/>
        <w:numPr>
          <w:ilvl w:val="0"/>
          <w:numId w:val="1001"/>
        </w:numPr>
      </w:pPr>
      <w:r>
        <w:t xml:space="preserve">Deposits increased</w:t>
      </w:r>
      <w:r>
        <w:t xml:space="preserve"> </w:t>
      </w:r>
      <w:r>
        <w:rPr>
          <w:b/>
          <w:bCs/>
        </w:rPr>
        <w:t xml:space="preserve">6% year over year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$1.415T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Management retained 2026 NII guidance of</w:t>
      </w:r>
      <w:r>
        <w:t xml:space="preserve"> </w:t>
      </w:r>
      <w:r>
        <w:rPr>
          <w:b/>
          <w:bCs/>
        </w:rPr>
        <w:t xml:space="preserve">$50B, plus or minus</w:t>
      </w:r>
      <w:r>
        <w:t xml:space="preserve">, despite expecting additional NIM compression in 2Q.</w:t>
      </w:r>
    </w:p>
    <w:p>
      <w:pPr>
        <w:pStyle w:val="Compact"/>
        <w:numPr>
          <w:ilvl w:val="0"/>
          <w:numId w:val="1001"/>
        </w:numPr>
      </w:pPr>
      <w:r>
        <w:t xml:space="preserve">The company expects NII to build through the year as loan growth, fixed-rate asset repricing, and broader client relationships increasingly contribute.</w:t>
      </w:r>
    </w:p>
    <w:p>
      <w:pPr>
        <w:pStyle w:val="FirstParagraph"/>
      </w:pPr>
      <w:r>
        <w:t xml:space="preserve">The tension is that much of the early post-cap balance-sheet expansion has been in</w:t>
      </w:r>
      <w:r>
        <w:t xml:space="preserve"> </w:t>
      </w:r>
      <w:r>
        <w:rPr>
          <w:b/>
          <w:bCs/>
        </w:rPr>
        <w:t xml:space="preserve">lower-margin Markets-related assets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higher-cost interest-bearing deposits</w:t>
      </w:r>
      <w:r>
        <w:t xml:space="preserve">, particularly in commercial businesses. That dynamic reduced 1Q taxable-equivalent NIM to</w:t>
      </w:r>
      <w:r>
        <w:t xml:space="preserve"> </w:t>
      </w:r>
      <w:r>
        <w:rPr>
          <w:b/>
          <w:bCs/>
        </w:rPr>
        <w:t xml:space="preserve">2.47%</w:t>
      </w:r>
      <w:r>
        <w:t xml:space="preserve">, from 2.60% in 4Q25 and 2.67% a year earlier.</w:t>
      </w:r>
    </w:p>
    <w:bookmarkStart w:id="10" w:name="why-2q-matters-for-the-full-year-guide"/>
    <w:p>
      <w:pPr>
        <w:pStyle w:val="Heading3"/>
      </w:pPr>
      <w:r>
        <w:t xml:space="preserve">Why 2Q matters for the full-year guide</w:t>
      </w:r>
    </w:p>
    <w:p>
      <w:pPr>
        <w:pStyle w:val="FirstParagraph"/>
      </w:pPr>
      <w:r>
        <w:t xml:space="preserve">With 1Q NII of</w:t>
      </w:r>
      <w:r>
        <w:t xml:space="preserve"> </w:t>
      </w:r>
      <m:oMath>
        <m:r>
          <m:t>12.10</m:t>
        </m:r>
        <m:r>
          <m:t>B</m:t>
        </m:r>
        <m:r>
          <m:rPr>
            <m:sty m:val="p"/>
          </m:rPr>
          <m:t>,</m:t>
        </m:r>
        <m:r>
          <m:t>W</m:t>
        </m:r>
        <m:r>
          <m:t>e</m:t>
        </m:r>
        <m:r>
          <m:t>l</m:t>
        </m:r>
        <m:r>
          <m:t>l</m:t>
        </m:r>
        <m:r>
          <m:t>s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37.9B** over the final three quarters—about</w:t>
      </w:r>
      <w:r>
        <w:t xml:space="preserve"> </w:t>
      </w:r>
      <w:r>
        <w:rPr>
          <w:b/>
          <w:bCs/>
        </w:rPr>
        <w:t xml:space="preserve">$12.6B per quarter on average</w:t>
      </w:r>
      <w:r>
        <w:t xml:space="preserve">—to reach the midpoint of its $50B full-year target. The 2Q consensus NII estimate of $12.36B is therefore not alarming on its own, but it reinforces that investors will be focused on the</w:t>
      </w:r>
      <w:r>
        <w:t xml:space="preserve"> </w:t>
      </w:r>
      <w:r>
        <w:rPr>
          <w:b/>
          <w:bCs/>
        </w:rPr>
        <w:t xml:space="preserve">second-half exit rate</w:t>
      </w:r>
      <w:r>
        <w:t xml:space="preserve"> </w:t>
      </w:r>
      <w:r>
        <w:t xml:space="preserve">and management’s confidence in the guide.</w:t>
      </w:r>
    </w:p>
    <w:p>
      <w:pPr>
        <w:pStyle w:val="BodyText"/>
      </w:pPr>
      <w:r>
        <w:rPr>
          <w:b/>
          <w:bCs/>
        </w:rPr>
        <w:t xml:space="preserve">What investors want to hear:</w:t>
      </w:r>
      <w:r>
        <w:t xml:space="preserve"> </w:t>
      </w:r>
      <w:r>
        <w:t xml:space="preserve">NII is tracking to plan; margin pressure is moderating after 2Q; commercial deposit growth is bringing broader, higher-return relationships; and loan growth remains disciplined rather than price-led.</w:t>
      </w:r>
    </w:p>
    <w:bookmarkEnd w:id="10"/>
    <w:bookmarkEnd w:id="11"/>
    <w:bookmarkStart w:id="16" w:name="X57993170dae645981eaca1cca02525cdbe11e63"/>
    <w:p>
      <w:pPr>
        <w:pStyle w:val="Heading2"/>
      </w:pPr>
      <w:r>
        <w:t xml:space="preserve">Four issues that will determine the reaction</w:t>
      </w:r>
    </w:p>
    <w:bookmarkStart w:id="12" w:name="X0e415b687afcbb1964c8a85cfa9c79a368480ec"/>
    <w:p>
      <w:pPr>
        <w:pStyle w:val="Heading3"/>
      </w:pPr>
      <w:r>
        <w:t xml:space="preserve">1. NII, deposit mix, and the 2026 outlook</w:t>
      </w:r>
    </w:p>
    <w:p>
      <w:pPr>
        <w:pStyle w:val="FirstParagraph"/>
      </w:pPr>
      <w:r>
        <w:t xml:space="preserve">This is the most important financial issue in the quarter.</w:t>
      </w:r>
    </w:p>
    <w:p>
      <w:pPr>
        <w:pStyle w:val="BodyText"/>
      </w:pPr>
      <w:r>
        <w:t xml:space="preserve">Management said in April that further NIM compression was likely in 2Q, driven by Markets balance-sheet growth, a greater mix of interest-bearing deposits, and the lagged impact of prior rate cuts. As a result, an incremental NIM decline should not be a surprise. The question is whether it is</w:t>
      </w:r>
      <w:r>
        <w:t xml:space="preserve"> </w:t>
      </w:r>
      <w:r>
        <w:rPr>
          <w:b/>
          <w:bCs/>
        </w:rPr>
        <w:t xml:space="preserve">contained and temporary</w:t>
      </w:r>
      <w:r>
        <w:t xml:space="preserve">, or whether it signals a more difficult path to the $50B NII target.</w:t>
      </w:r>
    </w:p>
    <w:p>
      <w:pPr>
        <w:pStyle w:val="BodyText"/>
      </w:pPr>
      <w:r>
        <w:t xml:space="preserve">Watch for:</w:t>
      </w:r>
    </w:p>
    <w:p>
      <w:pPr>
        <w:pStyle w:val="Compact"/>
        <w:numPr>
          <w:ilvl w:val="0"/>
          <w:numId w:val="1002"/>
        </w:numPr>
      </w:pPr>
      <w:r>
        <w:t xml:space="preserve">Any change to the</w:t>
      </w:r>
      <w:r>
        <w:t xml:space="preserve"> </w:t>
      </w:r>
      <w:r>
        <w:rPr>
          <w:b/>
          <w:bCs/>
        </w:rPr>
        <w:t xml:space="preserve">$50B ±</w:t>
      </w:r>
      <w:r>
        <w:t xml:space="preserve"> </w:t>
      </w:r>
      <w:r>
        <w:t xml:space="preserve">NII outlook.</w:t>
      </w:r>
    </w:p>
    <w:p>
      <w:pPr>
        <w:pStyle w:val="Compact"/>
        <w:numPr>
          <w:ilvl w:val="0"/>
          <w:numId w:val="1002"/>
        </w:numPr>
      </w:pPr>
      <w:r>
        <w:t xml:space="preserve">Commentary on the mix of commercial deposits versus consumer checking growth.</w:t>
      </w:r>
    </w:p>
    <w:p>
      <w:pPr>
        <w:pStyle w:val="Compact"/>
        <w:numPr>
          <w:ilvl w:val="0"/>
          <w:numId w:val="1002"/>
        </w:numPr>
      </w:pPr>
      <w:r>
        <w:t xml:space="preserve">Whether higher-for-longer rates are a net positive to NII, as management suggested in 1Q.</w:t>
      </w:r>
    </w:p>
    <w:p>
      <w:pPr>
        <w:pStyle w:val="Compact"/>
        <w:numPr>
          <w:ilvl w:val="0"/>
          <w:numId w:val="1002"/>
        </w:numPr>
      </w:pPr>
      <w:r>
        <w:t xml:space="preserve">Evidence that low-return balance-sheet deployment is producing fee, trading, payments, or investment-banking cross-sell.</w:t>
      </w:r>
    </w:p>
    <w:bookmarkEnd w:id="12"/>
    <w:bookmarkStart w:id="13" w:name="X910555178c431e65777b2245c8678545f6eb5c9"/>
    <w:p>
      <w:pPr>
        <w:pStyle w:val="Heading3"/>
      </w:pPr>
      <w:r>
        <w:t xml:space="preserve">2. Expense discipline and positive operating leverage</w:t>
      </w:r>
    </w:p>
    <w:p>
      <w:pPr>
        <w:pStyle w:val="FirstParagraph"/>
      </w:pPr>
      <w:r>
        <w:t xml:space="preserve">Wells retained its full-year</w:t>
      </w:r>
      <w:r>
        <w:t xml:space="preserve"> </w:t>
      </w:r>
      <w:r>
        <w:rPr>
          <w:b/>
          <w:bCs/>
        </w:rPr>
        <w:t xml:space="preserve">noninterest expense outlook of approximately $55.7B</w:t>
      </w:r>
      <w:r>
        <w:t xml:space="preserve"> </w:t>
      </w:r>
      <w:r>
        <w:t xml:space="preserve">after 1Q. First-quarter expenses were elevated at $14.33B, partly due to roughly $700M of seasonal payroll, stock-compensation, and retirement-plan costs.</w:t>
      </w:r>
    </w:p>
    <w:p>
      <w:pPr>
        <w:pStyle w:val="BodyText"/>
      </w:pPr>
      <w:r>
        <w:t xml:space="preserve">The investment case relies on management simultaneously:</w:t>
      </w:r>
    </w:p>
    <w:p>
      <w:pPr>
        <w:pStyle w:val="Compact"/>
        <w:numPr>
          <w:ilvl w:val="0"/>
          <w:numId w:val="1003"/>
        </w:numPr>
      </w:pPr>
      <w:r>
        <w:t xml:space="preserve">Investing in advertising, technology, AI, bankers, and product capabilities; and</w:t>
      </w:r>
    </w:p>
    <w:p>
      <w:pPr>
        <w:pStyle w:val="Compact"/>
        <w:numPr>
          <w:ilvl w:val="0"/>
          <w:numId w:val="1003"/>
        </w:numPr>
      </w:pPr>
      <w:r>
        <w:t xml:space="preserve">Generating efficiency savings elsewhere.</w:t>
      </w:r>
    </w:p>
    <w:p>
      <w:pPr>
        <w:pStyle w:val="FirstParagraph"/>
      </w:pPr>
      <w:r>
        <w:t xml:space="preserve">A better seasonal expense run-rate in 2Q would help validate that equation. Conversely, higher costs without a corresponding acceleration in revenue would challenge the path to the company’s</w:t>
      </w:r>
      <w:r>
        <w:t xml:space="preserve"> </w:t>
      </w:r>
      <w:r>
        <w:rPr>
          <w:b/>
          <w:bCs/>
        </w:rPr>
        <w:t xml:space="preserve">17%–18% ROTCE</w:t>
      </w:r>
      <w:r>
        <w:t xml:space="preserve"> </w:t>
      </w:r>
      <w:r>
        <w:t xml:space="preserve">objective. Wells produced</w:t>
      </w:r>
      <w:r>
        <w:t xml:space="preserve"> </w:t>
      </w:r>
      <w:r>
        <w:rPr>
          <w:b/>
          <w:bCs/>
        </w:rPr>
        <w:t xml:space="preserve">14.5% ROTCE</w:t>
      </w:r>
      <w:r>
        <w:t xml:space="preserve"> </w:t>
      </w:r>
      <w:r>
        <w:t xml:space="preserve">in 1Q26.</w:t>
      </w:r>
    </w:p>
    <w:bookmarkEnd w:id="13"/>
    <w:bookmarkStart w:id="14" w:name="Xde4d5796bd86ad84eb31cf95f43f4acce55cf59"/>
    <w:p>
      <w:pPr>
        <w:pStyle w:val="Heading3"/>
      </w:pPr>
      <w:r>
        <w:t xml:space="preserve">3. Fee-income durability: CIB and Wealth are key swing factors</w:t>
      </w:r>
    </w:p>
    <w:p>
      <w:pPr>
        <w:pStyle w:val="FirstParagraph"/>
      </w:pPr>
      <w:r>
        <w:t xml:space="preserve">Wells’ 1Q results were helped by broad fee growth:</w:t>
      </w:r>
    </w:p>
    <w:p>
      <w:pPr>
        <w:pStyle w:val="Compact"/>
        <w:numPr>
          <w:ilvl w:val="0"/>
          <w:numId w:val="1004"/>
        </w:numPr>
      </w:pPr>
      <w:r>
        <w:t xml:space="preserve">Corporate &amp; Investment Banking revenue rose</w:t>
      </w:r>
      <w:r>
        <w:t xml:space="preserve"> </w:t>
      </w:r>
      <w:r>
        <w:rPr>
          <w:b/>
          <w:bCs/>
        </w:rPr>
        <w:t xml:space="preserve">4% year over year</w:t>
      </w:r>
      <w:r>
        <w:t xml:space="preserve">, led by</w:t>
      </w:r>
      <w:r>
        <w:t xml:space="preserve"> </w:t>
      </w:r>
      <w:r>
        <w:rPr>
          <w:b/>
          <w:bCs/>
        </w:rPr>
        <w:t xml:space="preserve">11% Banking</w:t>
      </w:r>
      <w:r>
        <w:t xml:space="preserve"> </w:t>
      </w:r>
      <w:r>
        <w:t xml:space="preserve">growth and</w:t>
      </w:r>
      <w:r>
        <w:t xml:space="preserve"> </w:t>
      </w:r>
      <w:r>
        <w:rPr>
          <w:b/>
          <w:bCs/>
        </w:rPr>
        <w:t xml:space="preserve">19% Markets</w:t>
      </w:r>
      <w:r>
        <w:t xml:space="preserve"> </w:t>
      </w:r>
      <w:r>
        <w:t xml:space="preserve">growth.</w:t>
      </w:r>
    </w:p>
    <w:p>
      <w:pPr>
        <w:pStyle w:val="Compact"/>
        <w:numPr>
          <w:ilvl w:val="0"/>
          <w:numId w:val="1004"/>
        </w:numPr>
      </w:pPr>
      <w:r>
        <w:t xml:space="preserve">Wealth &amp; Investment Management revenue increased</w:t>
      </w:r>
      <w:r>
        <w:t xml:space="preserve"> </w:t>
      </w:r>
      <w:r>
        <w:rPr>
          <w:b/>
          <w:bCs/>
        </w:rPr>
        <w:t xml:space="preserve">14%</w:t>
      </w:r>
      <w:r>
        <w:t xml:space="preserve">, helped by higher asset-based fees and lower deposit pricing.</w:t>
      </w:r>
    </w:p>
    <w:p>
      <w:pPr>
        <w:pStyle w:val="Compact"/>
        <w:numPr>
          <w:ilvl w:val="0"/>
          <w:numId w:val="1004"/>
        </w:numPr>
      </w:pPr>
      <w:r>
        <w:t xml:space="preserve">Management entered 2Q with a strong investment-banking pipeline, including M&amp;A and equity-capital-markets activity.</w:t>
      </w:r>
    </w:p>
    <w:p>
      <w:pPr>
        <w:pStyle w:val="FirstParagraph"/>
      </w:pPr>
      <w:r>
        <w:t xml:space="preserve">The potential complication: Wealth advisory fees are generally priced at the start of the quarter, and management noted that market valuations on</w:t>
      </w:r>
      <w:r>
        <w:t xml:space="preserve"> </w:t>
      </w:r>
      <w:r>
        <w:rPr>
          <w:b/>
          <w:bCs/>
        </w:rPr>
        <w:t xml:space="preserve">April 1 were below January 1</w:t>
      </w:r>
      <w:r>
        <w:t xml:space="preserve">, though still above year-ago levels. That creates a potential sequential headwind for 2Q wealth fees.</w:t>
      </w:r>
    </w:p>
    <w:p>
      <w:pPr>
        <w:pStyle w:val="BodyText"/>
      </w:pPr>
      <w:r>
        <w:t xml:space="preserve">For CIB, investors should separate a volatile trading quarter from the underlying franchise trend. The more constructive signal would be continued investment-banking share gains, strong pipeline commentary, and evidence that Markets financing relationships are yielding ancillary revenues.</w:t>
      </w:r>
    </w:p>
    <w:bookmarkEnd w:id="14"/>
    <w:bookmarkStart w:id="15" w:name="X376608f564eb137e48edee0fedf0d4a22d36f11"/>
    <w:p>
      <w:pPr>
        <w:pStyle w:val="Heading3"/>
      </w:pPr>
      <w:r>
        <w:t xml:space="preserve">4. Credit: still healthy, but the outlook is becoming more important</w:t>
      </w:r>
    </w:p>
    <w:p>
      <w:pPr>
        <w:pStyle w:val="FirstParagraph"/>
      </w:pPr>
      <w:r>
        <w:t xml:space="preserve">Credit remained sound in 1Q:</w:t>
      </w:r>
    </w:p>
    <w:p>
      <w:pPr>
        <w:pStyle w:val="Compact"/>
        <w:numPr>
          <w:ilvl w:val="0"/>
          <w:numId w:val="1005"/>
        </w:numPr>
      </w:pPr>
      <w:r>
        <w:t xml:space="preserve">Net charge-offs were</w:t>
      </w:r>
      <w:r>
        <w:t xml:space="preserve"> </w:t>
      </w:r>
      <w:r>
        <w:rPr>
          <w:b/>
          <w:bCs/>
        </w:rPr>
        <w:t xml:space="preserve">45 bps</w:t>
      </w:r>
      <w:r>
        <w:t xml:space="preserve"> </w:t>
      </w:r>
      <w:r>
        <w:t xml:space="preserve">of average loans, flat year over year.</w:t>
      </w:r>
    </w:p>
    <w:p>
      <w:pPr>
        <w:pStyle w:val="Compact"/>
        <w:numPr>
          <w:ilvl w:val="0"/>
          <w:numId w:val="1005"/>
        </w:numPr>
      </w:pPr>
      <w:r>
        <w:t xml:space="preserve">Nonperforming assets were</w:t>
      </w:r>
      <w:r>
        <w:t xml:space="preserve"> </w:t>
      </w:r>
      <w:r>
        <w:rPr>
          <w:b/>
          <w:bCs/>
        </w:rPr>
        <w:t xml:space="preserve">0.86% of loans</w:t>
      </w:r>
      <w:r>
        <w:t xml:space="preserve">, stable sequentially.</w:t>
      </w:r>
    </w:p>
    <w:p>
      <w:pPr>
        <w:pStyle w:val="Compact"/>
        <w:numPr>
          <w:ilvl w:val="0"/>
          <w:numId w:val="1005"/>
        </w:numPr>
      </w:pPr>
      <w:r>
        <w:t xml:space="preserve">The allowance for credit losses was</w:t>
      </w:r>
      <w:r>
        <w:t xml:space="preserve"> </w:t>
      </w:r>
      <w:r>
        <w:rPr>
          <w:b/>
          <w:bCs/>
        </w:rPr>
        <w:t xml:space="preserve">1.41% of loans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Consumer charge-offs improved year over year, and commercial credit remained broadly stable.</w:t>
      </w:r>
    </w:p>
    <w:p>
      <w:pPr>
        <w:pStyle w:val="FirstParagraph"/>
      </w:pPr>
      <w:r>
        <w:t xml:space="preserve">However, management flagged that higher energy prices could pressure lower-income consumers and eventually affect broader spending and credit trends. It also maintained a meaningful downside weighting in its reserve scenarios. That makes the provision line and qualitative commentary disproportionately important in 2Q.</w:t>
      </w:r>
    </w:p>
    <w:p>
      <w:pPr>
        <w:pStyle w:val="BodyText"/>
      </w:pPr>
      <w:r>
        <w:t xml:space="preserve">Key indicators:</w:t>
      </w:r>
    </w:p>
    <w:p>
      <w:pPr>
        <w:pStyle w:val="Compact"/>
        <w:numPr>
          <w:ilvl w:val="0"/>
          <w:numId w:val="1006"/>
        </w:numPr>
      </w:pPr>
      <w:r>
        <w:t xml:space="preserve">Credit-card and auto delinquencies/charge-offs.</w:t>
      </w:r>
    </w:p>
    <w:p>
      <w:pPr>
        <w:pStyle w:val="Compact"/>
        <w:numPr>
          <w:ilvl w:val="0"/>
          <w:numId w:val="1006"/>
        </w:numPr>
      </w:pPr>
      <w:r>
        <w:t xml:space="preserve">Commercial and industrial credit migration.</w:t>
      </w:r>
    </w:p>
    <w:p>
      <w:pPr>
        <w:pStyle w:val="Compact"/>
        <w:numPr>
          <w:ilvl w:val="0"/>
          <w:numId w:val="1006"/>
        </w:numPr>
      </w:pPr>
      <w:r>
        <w:t xml:space="preserve">Commercial real-estate losses and nonaccruals.</w:t>
      </w:r>
    </w:p>
    <w:p>
      <w:pPr>
        <w:pStyle w:val="Compact"/>
        <w:numPr>
          <w:ilvl w:val="0"/>
          <w:numId w:val="1006"/>
        </w:numPr>
      </w:pPr>
      <w:r>
        <w:t xml:space="preserve">Any incremental reserve build tied to macro conditions, energy, consumer stress, or nonbank financial institution exposure.</w:t>
      </w:r>
    </w:p>
    <w:p>
      <w:pPr>
        <w:pStyle w:val="FirstParagraph"/>
      </w:pPr>
      <w:r>
        <w:t xml:space="preserve">The company provided unusually detailed 1Q disclosure on its roughly</w:t>
      </w:r>
      <w:r>
        <w:t xml:space="preserve"> </w:t>
      </w:r>
      <w:r>
        <w:rPr>
          <w:b/>
          <w:bCs/>
        </w:rPr>
        <w:t xml:space="preserve">$210B financials-ex-bank/NBFI portfolio</w:t>
      </w:r>
      <w:r>
        <w:t xml:space="preserve">, emphasizing collateral, diversification, advance rates, and structural protections. Investors will want confirmation that the 1Q fraud-related loss was isolated and that no broader deterioration has emerged.</w:t>
      </w:r>
    </w:p>
    <w:bookmarkEnd w:id="15"/>
    <w:bookmarkEnd w:id="16"/>
    <w:bookmarkStart w:id="17" w:name="Xb932a6ab79990742973de0ebf3750446ff33dd1"/>
    <w:p>
      <w:pPr>
        <w:pStyle w:val="Heading2"/>
      </w:pPr>
      <w:r>
        <w:t xml:space="preserve">Capital return and regulatory optionality</w:t>
      </w:r>
    </w:p>
    <w:p>
      <w:pPr>
        <w:pStyle w:val="FirstParagraph"/>
      </w:pPr>
      <w:r>
        <w:t xml:space="preserve">Capital is a supporting upside factor rather than the near-term earnings driver.</w:t>
      </w:r>
    </w:p>
    <w:p>
      <w:pPr>
        <w:pStyle w:val="BodyText"/>
      </w:pPr>
      <w:r>
        <w:t xml:space="preserve">Wells ended 1Q with a</w:t>
      </w:r>
      <w:r>
        <w:t xml:space="preserve"> </w:t>
      </w:r>
      <w:r>
        <w:rPr>
          <w:b/>
          <w:bCs/>
        </w:rPr>
        <w:t xml:space="preserve">10.3% CET1 ratio</w:t>
      </w:r>
      <w:r>
        <w:t xml:space="preserve">, within its 10.0%–10.5% operating target, and repurchased</w:t>
      </w:r>
      <w:r>
        <w:t xml:space="preserve"> </w:t>
      </w:r>
      <w:r>
        <w:rPr>
          <w:b/>
          <w:bCs/>
        </w:rPr>
        <w:t xml:space="preserve">$4.0B</w:t>
      </w:r>
      <w:r>
        <w:t xml:space="preserve"> </w:t>
      </w:r>
      <w:r>
        <w:t xml:space="preserve">of common stock during the quarter. Management also estimated that the proposed capital-rule changes could reduce risk-weighted assets by approximately</w:t>
      </w:r>
      <w:r>
        <w:t xml:space="preserve"> </w:t>
      </w:r>
      <w:r>
        <w:rPr>
          <w:b/>
          <w:bCs/>
        </w:rPr>
        <w:t xml:space="preserve">7%</w:t>
      </w:r>
      <w:r>
        <w:t xml:space="preserve">, although it has not committed to a lower future CET1 target before the rules are finalized.</w:t>
      </w:r>
    </w:p>
    <w:p>
      <w:pPr>
        <w:pStyle w:val="BodyText"/>
      </w:pPr>
      <w:r>
        <w:t xml:space="preserve">The practical read-through:</w:t>
      </w:r>
    </w:p>
    <w:p>
      <w:pPr>
        <w:pStyle w:val="Compact"/>
        <w:numPr>
          <w:ilvl w:val="0"/>
          <w:numId w:val="1007"/>
        </w:numPr>
      </w:pPr>
      <w:r>
        <w:t xml:space="preserve">Continued sizable repurchases should remain plausible if earnings and capital requirements cooperate.</w:t>
      </w:r>
    </w:p>
    <w:p>
      <w:pPr>
        <w:pStyle w:val="Compact"/>
        <w:numPr>
          <w:ilvl w:val="0"/>
          <w:numId w:val="1007"/>
        </w:numPr>
      </w:pPr>
      <w:r>
        <w:t xml:space="preserve">Final capital rules could create incremental flexibility for buybacks or balance-sheet growth.</w:t>
      </w:r>
    </w:p>
    <w:p>
      <w:pPr>
        <w:pStyle w:val="Compact"/>
        <w:numPr>
          <w:ilvl w:val="0"/>
          <w:numId w:val="1007"/>
        </w:numPr>
      </w:pPr>
      <w:r>
        <w:t xml:space="preserve">Investors should not assume that benefit is immediately deployable; management has emphasized that final rules, implementation timing, and the desired capital buffer still need to be determined.</w:t>
      </w:r>
    </w:p>
    <w:bookmarkEnd w:id="17"/>
    <w:bookmarkStart w:id="18" w:name="what-would-make-this-a-good-print"/>
    <w:p>
      <w:pPr>
        <w:pStyle w:val="Heading2"/>
      </w:pPr>
      <w:r>
        <w:t xml:space="preserve">What would make this a “good” print?</w:t>
      </w:r>
    </w:p>
    <w:p>
      <w:pPr>
        <w:pStyle w:val="FirstParagraph"/>
      </w:pPr>
      <w:r>
        <w:t xml:space="preserve">A favorable report would likely include: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EPS and revenue above consensus</w:t>
      </w:r>
      <w:r>
        <w:t xml:space="preserve">, with core—not merely tax or one-time—drivers.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NII in line or better</w:t>
      </w:r>
      <w:r>
        <w:t xml:space="preserve">, paired with a reaffirmed $50B full-year outlook.</w:t>
      </w:r>
    </w:p>
    <w:p>
      <w:pPr>
        <w:pStyle w:val="Compact"/>
        <w:numPr>
          <w:ilvl w:val="0"/>
          <w:numId w:val="1008"/>
        </w:numPr>
      </w:pPr>
      <w:r>
        <w:t xml:space="preserve">A credible message that</w:t>
      </w:r>
      <w:r>
        <w:t xml:space="preserve"> </w:t>
      </w:r>
      <w:r>
        <w:rPr>
          <w:b/>
          <w:bCs/>
        </w:rPr>
        <w:t xml:space="preserve">2Q is the low point for NIM pressure</w:t>
      </w:r>
      <w:r>
        <w:t xml:space="preserve"> </w:t>
      </w:r>
      <w:r>
        <w:t xml:space="preserve">or that pressure moderates in the second half.</w:t>
      </w:r>
    </w:p>
    <w:p>
      <w:pPr>
        <w:pStyle w:val="Compact"/>
        <w:numPr>
          <w:ilvl w:val="0"/>
          <w:numId w:val="1008"/>
        </w:numPr>
      </w:pPr>
      <w:r>
        <w:t xml:space="preserve">Expenses consistent with the</w:t>
      </w:r>
      <w:r>
        <w:t xml:space="preserve"> </w:t>
      </w:r>
      <w:r>
        <w:rPr>
          <w:b/>
          <w:bCs/>
        </w:rPr>
        <w:t xml:space="preserve">$55.7B</w:t>
      </w:r>
      <w:r>
        <w:t xml:space="preserve"> </w:t>
      </w:r>
      <w:r>
        <w:t xml:space="preserve">annual target.</w:t>
      </w:r>
    </w:p>
    <w:p>
      <w:pPr>
        <w:pStyle w:val="Compact"/>
        <w:numPr>
          <w:ilvl w:val="0"/>
          <w:numId w:val="1008"/>
        </w:numPr>
      </w:pPr>
      <w:r>
        <w:t xml:space="preserve">Continued broad loan/deposit growth without evidence of aggressive pricing.</w:t>
      </w:r>
    </w:p>
    <w:p>
      <w:pPr>
        <w:pStyle w:val="Compact"/>
        <w:numPr>
          <w:ilvl w:val="0"/>
          <w:numId w:val="1008"/>
        </w:numPr>
      </w:pPr>
      <w:r>
        <w:t xml:space="preserve">Healthy credit trends and no material reserve surprise.</w:t>
      </w:r>
    </w:p>
    <w:p>
      <w:pPr>
        <w:pStyle w:val="Compact"/>
        <w:numPr>
          <w:ilvl w:val="0"/>
          <w:numId w:val="1008"/>
        </w:numPr>
      </w:pPr>
      <w:r>
        <w:t xml:space="preserve">Constructive CIB pipeline and Wealth net-flow commentary.</w:t>
      </w:r>
    </w:p>
    <w:p>
      <w:pPr>
        <w:pStyle w:val="Compact"/>
        <w:numPr>
          <w:ilvl w:val="0"/>
          <w:numId w:val="1008"/>
        </w:numPr>
      </w:pPr>
      <w:r>
        <w:t xml:space="preserve">Ongoing meaningful repurchases and a steady capital outlook.</w:t>
      </w:r>
    </w:p>
    <w:bookmarkEnd w:id="18"/>
    <w:bookmarkStart w:id="19" w:name="what-could-disappoint"/>
    <w:p>
      <w:pPr>
        <w:pStyle w:val="Heading2"/>
      </w:pPr>
      <w:r>
        <w:t xml:space="preserve">What could disappoint?</w:t>
      </w:r>
    </w:p>
    <w:p>
      <w:pPr>
        <w:pStyle w:val="FirstParagraph"/>
      </w:pPr>
      <w:r>
        <w:t xml:space="preserve">The principal downside risks are:</w:t>
      </w:r>
    </w:p>
    <w:p>
      <w:pPr>
        <w:pStyle w:val="Compact"/>
        <w:numPr>
          <w:ilvl w:val="0"/>
          <w:numId w:val="1009"/>
        </w:numPr>
      </w:pPr>
      <w:r>
        <w:t xml:space="preserve">A cut or a more cautious tone on full-year NII guidance.</w:t>
      </w:r>
    </w:p>
    <w:p>
      <w:pPr>
        <w:pStyle w:val="Compact"/>
        <w:numPr>
          <w:ilvl w:val="0"/>
          <w:numId w:val="1009"/>
        </w:numPr>
      </w:pPr>
      <w:r>
        <w:t xml:space="preserve">Faster-than-expected margin erosion from deposit costs and low-yielding balance-sheet growth.</w:t>
      </w:r>
    </w:p>
    <w:p>
      <w:pPr>
        <w:pStyle w:val="Compact"/>
        <w:numPr>
          <w:ilvl w:val="0"/>
          <w:numId w:val="1009"/>
        </w:numPr>
      </w:pPr>
      <w:r>
        <w:t xml:space="preserve">Expense creep from technology, advertising, compensation, or control investments.</w:t>
      </w:r>
    </w:p>
    <w:p>
      <w:pPr>
        <w:pStyle w:val="Compact"/>
        <w:numPr>
          <w:ilvl w:val="0"/>
          <w:numId w:val="1009"/>
        </w:numPr>
      </w:pPr>
      <w:r>
        <w:t xml:space="preserve">A weaker Wealth-fee quarter due to market-level timing.</w:t>
      </w:r>
    </w:p>
    <w:p>
      <w:pPr>
        <w:pStyle w:val="Compact"/>
        <w:numPr>
          <w:ilvl w:val="0"/>
          <w:numId w:val="1009"/>
        </w:numPr>
      </w:pPr>
      <w:r>
        <w:t xml:space="preserve">Credit normalization in cards, autos, C&amp;I, CRE, or NBFI exposures.</w:t>
      </w:r>
    </w:p>
    <w:p>
      <w:pPr>
        <w:pStyle w:val="Compact"/>
        <w:numPr>
          <w:ilvl w:val="0"/>
          <w:numId w:val="1009"/>
        </w:numPr>
      </w:pPr>
      <w:r>
        <w:t xml:space="preserve">CIB revenue that fails to sustain 1Q’s strong momentum.</w:t>
      </w:r>
    </w:p>
    <w:p>
      <w:pPr>
        <w:pStyle w:val="Compact"/>
        <w:numPr>
          <w:ilvl w:val="0"/>
          <w:numId w:val="1009"/>
        </w:numPr>
      </w:pPr>
      <w:r>
        <w:t xml:space="preserve">A less confident timetable for reaching the 17%–18% ROTCE target.</w:t>
      </w:r>
    </w:p>
    <w:bookmarkEnd w:id="19"/>
    <w:bookmarkStart w:id="20" w:name="positioning-and-setup"/>
    <w:p>
      <w:pPr>
        <w:pStyle w:val="Heading2"/>
      </w:pPr>
      <w:r>
        <w:t xml:space="preserve">Positioning and setup</w:t>
      </w:r>
    </w:p>
    <w:p>
      <w:pPr>
        <w:pStyle w:val="FirstParagraph"/>
      </w:pPr>
      <w:r>
        <w:t xml:space="preserve">WFC closed at</w:t>
      </w:r>
      <w:r>
        <w:t xml:space="preserve"> </w:t>
      </w:r>
      <w:r>
        <w:rPr>
          <w:b/>
          <w:bCs/>
        </w:rPr>
        <w:t xml:space="preserve">$87.69 on July 13</w:t>
      </w:r>
      <w:r>
        <w:t xml:space="preserve">, up about</w:t>
      </w:r>
      <w:r>
        <w:t xml:space="preserve"> </w:t>
      </w:r>
      <w:r>
        <w:rPr>
          <w:b/>
          <w:bCs/>
        </w:rPr>
        <w:t xml:space="preserve">7.3%</w:t>
      </w:r>
      <w:r>
        <w:t xml:space="preserve"> </w:t>
      </w:r>
      <w:r>
        <w:t xml:space="preserve">since its April 14 first-quarter earnings report, versus roughly</w:t>
      </w:r>
      <w:r>
        <w:t xml:space="preserve"> </w:t>
      </w:r>
      <w:r>
        <w:rPr>
          <w:b/>
          <w:bCs/>
        </w:rPr>
        <w:t xml:space="preserve">8.7%</w:t>
      </w:r>
      <w:r>
        <w:t xml:space="preserve"> </w:t>
      </w:r>
      <w:r>
        <w:t xml:space="preserve">for the KBE bank ETF over the same period. That relative underperformance suggests the stock is not priced for an unambiguously strong growth-and-returns inflection, but it also means a simple EPS beat may not be enough: investors will want proof that the post-asset-cap strategy is improving the medium-term earnings trajectory.</w: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Wells Fargo’s 2Q report is a validation quarter for the post-asset-cap growth story.</w:t>
      </w:r>
      <w:r>
        <w:t xml:space="preserve"> </w:t>
      </w:r>
      <w:r>
        <w:t xml:space="preserve">The company has clear momentum in loans, deposits, cards, commercial banking, wealth, and CIB. But the market needs reassurance that the early balance-sheet expansion is not sacrificing NIM, operating efficiency, or credit discipline.</w:t>
      </w:r>
    </w:p>
    <w:p>
      <w:pPr>
        <w:pStyle w:val="BodyText"/>
      </w:pPr>
      <w:r>
        <w:t xml:space="preserve">The highest-value data points on July 14 will be:</w:t>
      </w:r>
      <w:r>
        <w:t xml:space="preserve"> </w:t>
      </w:r>
      <w:r>
        <w:rPr>
          <w:b/>
          <w:bCs/>
        </w:rPr>
        <w:t xml:space="preserve">full-year NII guidance, the trajectory of NIM after 2Q, expense discipline, credit/reserve commentary, and evidence that commercial-client onboarding is translating into higher-return fee businesses.</w:t>
      </w:r>
    </w:p>
    <w:p>
      <w:pPr>
        <w:pStyle w:val="BodyText"/>
      </w:pPr>
      <w:r>
        <w:rPr>
          <w:i/>
          <w:iCs/>
        </w:rPr>
        <w:t xml:space="preserve">Sources reviewed: Wells Fargo 1Q26 earnings release and conference-call transcript; Wells Fargo 2Q25 earnings release; recent WFC and financial-sector news/consensus data; historical WFC and KBE price data.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2026-07-14T01:22:08Z</dcterms:created>
  <dcterms:modified xsi:type="dcterms:W3CDTF">2026-07-14T01:22:08Z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