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pBdr>
          <w:bottom w:val="single" w:sz="4" w:space="1" w:color="FB9120"/>
        </w:pBdr>
      </w:pPr>
      <w:r>
        <w:rPr>
          <w:rFonts w:ascii="Calibri" w:hAnsi="Calibri"/>
          <w:b/>
          <w:color w:val="3B4259"/>
          <w:sz w:val="40"/>
        </w:rPr>
        <w:t>Wells Fargo &amp; Company (WFC)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Q2 2026 Earnings Preview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rFonts w:ascii="Calibri" w:hAnsi="Calibri"/>
                <w:b/>
                <w:sz w:val="22"/>
              </w:rPr>
              <w:t>Ticker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WFC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sz w:val="22"/>
              </w:rPr>
              <w:t>Upcoming Earnings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2026 — July 11,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sz w:val="22"/>
              </w:rPr>
              <w:t>Prepared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July 13, 2026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1. Earnings Preview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b/>
          <w:color w:val="525866"/>
          <w:sz w:val="22"/>
        </w:rPr>
        <w:t xml:space="preserve">The setup into Q2 is constructive — management pre-guided mid-teens markets and IB revenue growth and a step-up in NII, making the bar well-telegraphed; the key swing factor is whether </w:t>
      </w:r>
      <w:r>
        <w:rPr>
          <w:rFonts w:ascii="Calibri" w:hAnsi="Calibri"/>
          <w:b/>
          <w:color w:val="002FA7"/>
          <w:sz w:val="22"/>
        </w:rPr>
        <w:t>NIM compression stays contained at the guided 3–4 bps</w:t>
      </w:r>
      <w:r>
        <w:rPr>
          <w:rFonts w:ascii="Calibri" w:hAnsi="Calibri"/>
          <w:b/>
          <w:color w:val="525866"/>
          <w:sz w:val="22"/>
        </w:rPr>
        <w:t xml:space="preserve"> and whether fee momentum in wealth and IB surprises to the upside.</w:t>
      </w:r>
    </w:p>
    <w:p>
      <w:r>
        <w:rPr>
          <w:rFonts w:ascii="Calibri" w:hAnsi="Calibri"/>
          <w:color w:val="525866"/>
          <w:sz w:val="22"/>
        </w:rPr>
        <w:t xml:space="preserve">Wells Fargo heads into Q2 2026 earnings with an unusually well-telegraphed setup: management explicitly guided </w:t>
      </w:r>
      <w:r>
        <w:rPr>
          <w:rFonts w:ascii="Calibri" w:hAnsi="Calibri"/>
          <w:b/>
          <w:color w:val="525866"/>
          <w:sz w:val="22"/>
        </w:rPr>
        <w:t>mid-teens year-over-year growth</w:t>
      </w:r>
      <w:r>
        <w:rPr>
          <w:rFonts w:ascii="Calibri" w:hAnsi="Calibri"/>
          <w:color w:val="525866"/>
          <w:sz w:val="22"/>
        </w:rPr>
        <w:t xml:space="preserve"> in both total markets revenues and investment banking at the May Bernstein conference, </w:t>
      </w:r>
      <w:r>
        <w:rPr>
          <w:rFonts w:ascii="Calibri" w:hAnsi="Calibri"/>
          <w:b/>
          <w:color w:val="525866"/>
          <w:sz w:val="22"/>
        </w:rPr>
        <w:t>low double-digit growth in wealth</w:t>
      </w:r>
      <w:r>
        <w:rPr>
          <w:rFonts w:ascii="Calibri" w:hAnsi="Calibri"/>
          <w:color w:val="525866"/>
          <w:sz w:val="22"/>
        </w:rPr>
        <w:t xml:space="preserve">, and a sequential step-up in NII — all of which sets a clear bar for the Street. Consensus NII ex-markets of ~$11.8B and operating EPS of ~$1.73 represent modest upward revisions from the post-Q1 baseline, tracking management’s directional guidance. The stock has lagged KRE (+8.3%) and SPY (+8.7%) since Q1 earnings, gaining only </w:t>
      </w:r>
      <w:r>
        <w:rPr>
          <w:rFonts w:ascii="Calibri" w:hAnsi="Calibri"/>
          <w:b/>
          <w:color w:val="525866"/>
          <w:sz w:val="22"/>
        </w:rPr>
        <w:t>+6.7%</w:t>
      </w:r>
      <w:r>
        <w:rPr>
          <w:rFonts w:ascii="Calibri" w:hAnsi="Calibri"/>
          <w:color w:val="525866"/>
          <w:sz w:val="22"/>
        </w:rPr>
        <w:t xml:space="preserve">, suggesting the market has not fully priced in the growth narrative — which creates asymmetric upside if fee lines and NIM compression come in better than feared. The wildcard is </w:t>
      </w:r>
      <w:r>
        <w:rPr>
          <w:rFonts w:ascii="Calibri" w:hAnsi="Calibri"/>
          <w:b/>
          <w:color w:val="525866"/>
          <w:sz w:val="22"/>
        </w:rPr>
        <w:t>NIM</w:t>
      </w:r>
      <w:r>
        <w:rPr>
          <w:rFonts w:ascii="Calibri" w:hAnsi="Calibri"/>
          <w:color w:val="525866"/>
          <w:sz w:val="22"/>
        </w:rPr>
        <w:t>: CFO Santomassimo guided 3–4 bps of additional compression in Q2 from faster-than-expected interest-bearing deposit growth, and any deviation — particularly if compression is shallower — could be the single biggest positive surprise. Credit quality remains a non-issue with NCO ratios stable and consumer delinquencies flat-to-down, removing a key bear concern.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Dimension</w:t>
            </w:r>
          </w:p>
        </w:tc>
        <w:tc>
          <w:tcPr>
            <w:tcW w:type="dxa" w:w="432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Assessment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Bar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Consensus operating EPS of ~$1.73 is a moderate bar — above Q1’s $1.57 actuals but below Q3/Q4 2025 levels; management’s explicit revenue directional guidance makes this a well-anchored setup.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Guidance / Tone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Management tone has been notably confident at both the Bernstein (May 27) and Morgan Stanley (June 9) conferences — CEO Scharf called the economy “extremely, extremely strong” and CFO Santomassimo noted consumer debit/credit card spend up 9% YoY in May.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Estimate Trajectory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Estimates have drifted modestly higher since Q1 earnings, tracking management’s directional guidance; NII ex-markets consensus of ~$11.8B is slightly above Q1’s $11.6B actuals, consistent with the guided sequential step-up.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Stock Setup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WFC has underperformed KRE and SPY since Q1 earnings (+6.7% vs +8.3% and +8.7%), suggesting the market has not fully re-rated the stock despite the growth narrative — creating potential for a catch-up trade on a clean print.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Wildcard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NIM trajectory — guided 3–4 bps of additional compression in Q2; any upside surprise (shallower compression) driven by slower repo growth or better deposit mix would be the single biggest positive catalyst.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2. KPIs &amp; Consensus Expectations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Consensus sets a moderate bar across all key metrics; </w:t>
      </w:r>
      <w:r>
        <w:rPr>
          <w:rFonts w:ascii="Calibri" w:hAnsi="Calibri"/>
          <w:b/>
          <w:color w:val="525866"/>
          <w:sz w:val="22"/>
        </w:rPr>
        <w:t>NII ex-markets and fee revenue are the two biggest swing factors</w:t>
      </w:r>
      <w:r>
        <w:rPr>
          <w:rFonts w:ascii="Calibri" w:hAnsi="Calibri"/>
          <w:color w:val="525866"/>
          <w:sz w:val="22"/>
        </w:rPr>
        <w:t>, while credit quality is expected to remain benign.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1 — Current Quarter Snapshot (Q2 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Q1 2026 Actual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2025 Actual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2026 Consensus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YoY Change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Cons. vs.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Operating EPS ($)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$1.57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$1.54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$1.73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+12.3%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specific Q2 guide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Net Interest Income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$12.10B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$11.71B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$12.30B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+5.1%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~$50B FY (step-up guided)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Tracking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NII ex-Markets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$11.62B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$11.60B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$11.79B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+1.6%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~$48B FY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Tracking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Total Noninterest Income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$9.35B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$9.11B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$9.53B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+4.6%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Mid-teens mkts/IB growth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Tracking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Total Revenue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$21.45B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$20.82B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$21.81B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+4.8%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Sequential step-up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Tracking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Total Noninterest Expense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$14.33B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$13.38B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$13.77B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+2.9%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~$55.7B FY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On track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Provision for Credit Losses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$1.14B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$1.01B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$1.19B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+18.0%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specific guide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Net Interest Margin FTE (%)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2.47%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2.68%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2.44%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-24 bps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3–4 bps Q2 compression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Tracking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Net Charge-Off Ratio (%)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0.44%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0.44%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0.43%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-1 bp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Stable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On track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ROTCE (%)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14.5%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15.2%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15.4%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+20 bps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17–18% medium-term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Tracking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Source: </w:t>
      </w:r>
      <w:r>
        <w:rPr>
          <w:rFonts w:ascii="Calibri" w:hAnsi="Calibri"/>
          <w:i/>
          <w:color w:val="525866"/>
          <w:sz w:val="22"/>
        </w:rPr>
        <w:t>All consensus figures from Visible Alpha. Q1 2026 and Q2 2025 actuals from Visible Alpha. NII ex-Markets consensus ~$11.79B per VA; Total NII consensus ~$12.30B includes ~$515M markets NII.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2 — Beat/Miss History (Last 8 Quarters)</w:t>
      </w:r>
    </w:p>
    <w:p>
      <w:pPr>
        <w:pStyle w:val="Heading4"/>
      </w:pPr>
      <w:r>
        <w:rPr>
          <w:rFonts w:ascii="Calibri" w:hAnsi="Calibri"/>
          <w:b/>
          <w:color w:val="3B4259"/>
          <w:sz w:val="22"/>
        </w:rPr>
        <w:t>Operating EPS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$1.36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$1.29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+5.4%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$1.52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$1.28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+18.8%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$1.42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$1.38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+2.9%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$1.27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$1.27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0.0%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In-line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$1.54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$1.41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+9.2%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$1.73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$1.58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+9.5%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$1.74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$1.70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+2.4%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$1.57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$1.61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-2.5%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</w:tbl>
    <w:p>
      <w:pPr>
        <w:pStyle w:val="Heading4"/>
      </w:pPr>
      <w:r>
        <w:rPr>
          <w:rFonts w:ascii="Calibri" w:hAnsi="Calibri"/>
          <w:b/>
          <w:color w:val="3B4259"/>
          <w:sz w:val="22"/>
        </w:rPr>
        <w:t>Net Interest Income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 ($B)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($B)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$11.92B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$12.09B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-1.4%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$11.69B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$11.85B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-1.4%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$11.84B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$11.70B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$11.50B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$11.73B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-2.0%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$11.71B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$11.84B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-1.1%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$11.95B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$12.03B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-0.7%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$12.33B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$12.40B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-0.6%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$12.10B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$12.25B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-1.2%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Pattern: </w:t>
      </w:r>
      <w:r>
        <w:rPr>
          <w:rFonts w:ascii="Calibri" w:hAnsi="Calibri"/>
          <w:color w:val="525866"/>
          <w:sz w:val="22"/>
        </w:rPr>
        <w:t>WFC has consistently missed NII consensus in 7 of the last 8 quarters, largely driven by markets balance sheet growth compressing reported NIM. Operating EPS has beaten in 6 of 8 quarters, with the Q1 2026 miss being the first EPS miss in the series. The NII miss pattern is structural and well-understood by the Street — it does not represent a negative surprise risk for Q2.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3. Guidance &amp; Commentary Evolution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Management has maintained all full-year guidance unchanged since Q1 earnings; the only incremental color has been </w:t>
      </w:r>
      <w:r>
        <w:rPr>
          <w:rFonts w:ascii="Calibri" w:hAnsi="Calibri"/>
          <w:b/>
          <w:color w:val="525866"/>
          <w:sz w:val="22"/>
        </w:rPr>
        <w:t>explicit Q2 directional revenue guidance provided at conferences</w:t>
      </w:r>
      <w:r>
        <w:rPr>
          <w:rFonts w:ascii="Calibri" w:hAnsi="Calibri"/>
          <w:color w:val="525866"/>
          <w:sz w:val="22"/>
        </w:rPr>
        <w:t xml:space="preserve"> — a positive signal of management confidence and the first time WFC has provided forward-quarter color outside of an earnings call.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Metric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2026 Earnings, Apr 14)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Revised Guidance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Full-Year NII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~$50B (+/-)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~$49.8B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Reaffirmed at Bernstein (May 27) and MS Conf. (June 9); rates now flat for year is modest positive for banking book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NII ex-Markets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~$48B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~$47.8B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Loan growth tracking better than modeled; modest positive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Noninterest Expense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~$55.7B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~$55.7B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Reaffirmed at MS Conf. (June 9); 20+ consecutive quarters of headcount reduction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b/>
                <w:color w:val="002FA7"/>
                <w:sz w:val="22"/>
              </w:rPr>
              <w:t>Q2 Markets Revenue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Not guided at earnings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sz w:val="22"/>
              </w:rPr>
              <w:t>Mid-teens YoY growth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First explicit forward-quarter revenue color; provided at Bernstein (May 27) and reaffirmed at MS Conf. (June 9)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b/>
                <w:color w:val="002FA7"/>
                <w:sz w:val="22"/>
              </w:rPr>
              <w:t>Q2 IB Revenue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Not guided at earnings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sz w:val="22"/>
              </w:rPr>
              <w:t>Mid-teens YoY growth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Provided at Bernstein (May 27)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b/>
                <w:color w:val="002FA7"/>
                <w:sz w:val="22"/>
              </w:rPr>
              <w:t>Q2 Wealth Revenue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Not guided at earnings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sz w:val="22"/>
              </w:rPr>
              <w:t>Low double-digit YoY growth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Provided at Bernstein (May 27)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b/>
                <w:color w:val="002FA7"/>
                <w:sz w:val="22"/>
              </w:rPr>
              <w:t>Q2 NIM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Not guided at earnings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sz w:val="22"/>
              </w:rPr>
              <w:t>3–4 bps compression vs Q1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~2.44%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Provided at MS Conf. (June 9); driven by interest-bearing deposit mix shift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ROTCE (Medium-Term)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17–18%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~15.4% Q2E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CEO: “not the destination” — waypoint on path to higher returns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Loan Growth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Mid-single digits FY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Tracking better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CFO: “potentially a little bit better than what we had modeled”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4. Guidance vs. Estimate Revision Tracker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Estimates have drifted </w:t>
      </w:r>
      <w:r>
        <w:rPr>
          <w:rFonts w:ascii="Calibri" w:hAnsi="Calibri"/>
          <w:b/>
          <w:color w:val="525866"/>
          <w:sz w:val="22"/>
        </w:rPr>
        <w:t>modestly higher since Q1 earnings</w:t>
      </w:r>
      <w:r>
        <w:rPr>
          <w:rFonts w:ascii="Calibri" w:hAnsi="Calibri"/>
          <w:color w:val="525866"/>
          <w:sz w:val="22"/>
        </w:rPr>
        <w:t xml:space="preserve"> across all key metrics, tracking management’s directional guidance; the gap between current consensus and guidance is narrow, suggesting limited room for a guidance-driven surprise.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 / Period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Est. ~5 Days Post Q1 Earnings (Apr 21)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 (Jul 13)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Delta (%)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Call)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Guidance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 Delta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Cons. vs. Guidance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Op. EPS — Q2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~$1.68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$1.73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+3.0%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specific guide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change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Op. EPS — FY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~$6.85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$7.01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+2.3%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specific guide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change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NII — Q2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~$12.15B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$12.30B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+1.2%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~$50B FY (step-up)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Flat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Tracking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NII — FY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~$49.5B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$49.8B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+0.6%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~$50B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Flat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~0.4% below midpoint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Revenue — Q2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~$21.5B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$21.81B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+1.4%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Sequential step-up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Flat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Tracking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Revenue — FY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~$87.0B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$87.7B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+0.8%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specific FY guide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change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Note: </w:t>
      </w:r>
      <w:r>
        <w:rPr>
          <w:rFonts w:ascii="Calibri" w:hAnsi="Calibri"/>
          <w:i/>
          <w:color w:val="525866"/>
          <w:sz w:val="22"/>
        </w:rPr>
        <w:t>Post-Q1 earnings baseline estimates (~Apr 21) are approximated from the Visible Alpha data trend; current consensus from Visible Alpha as of July 13, 2026. Estimates have drifted modestly higher across all metrics, consistent with management’s constructive conference commentary.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5. Stock Performance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WFC has </w:t>
      </w:r>
      <w:r>
        <w:rPr>
          <w:rFonts w:ascii="Calibri" w:hAnsi="Calibri"/>
          <w:b/>
          <w:color w:val="525866"/>
          <w:sz w:val="22"/>
        </w:rPr>
        <w:t>underperformed both KRE (+8.3%) and SPY (+8.7%) since Q1 earnings</w:t>
      </w:r>
      <w:r>
        <w:rPr>
          <w:rFonts w:ascii="Calibri" w:hAnsi="Calibri"/>
          <w:color w:val="525866"/>
          <w:sz w:val="22"/>
        </w:rPr>
        <w:t>, gaining only +6.7% — the lag appears driven by multiple compression rather than earnings deterioration; the discount to peers creates a potential catch-up trade on a clean Q2 print.</w:t>
      </w:r>
    </w:p>
    <w:p>
      <w:r>
        <w:drawing>
          <wp:inline xmlns:a="http://schemas.openxmlformats.org/drawingml/2006/main" xmlns:pic="http://schemas.openxmlformats.org/drawingml/2006/picture">
            <wp:extent cx="4572000" cy="32657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65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6666"/>
          <w:sz w:val="18"/>
        </w:rPr>
        <w:t>WFC vs. KRE vs. SPY — Indexed Performance Since Q1 2026 Earnings (Apr 14, 2026 = 100). Source: Stock Price Data.</w:t>
      </w:r>
    </w:p>
    <w:p>
      <w:r>
        <w:rPr>
          <w:rFonts w:ascii="Calibri" w:hAnsi="Calibri"/>
          <w:color w:val="525866"/>
          <w:sz w:val="22"/>
        </w:rPr>
        <w:t xml:space="preserve">WFC opened Q1 earnings at $81.70 and closed at $87.18 on July 10, 2026 — a gain of </w:t>
      </w:r>
      <w:r>
        <w:rPr>
          <w:rFonts w:ascii="Calibri" w:hAnsi="Calibri"/>
          <w:b/>
          <w:color w:val="525866"/>
          <w:sz w:val="22"/>
        </w:rPr>
        <w:t>+6.7%</w:t>
      </w:r>
      <w:r>
        <w:rPr>
          <w:rFonts w:ascii="Calibri" w:hAnsi="Calibri"/>
          <w:color w:val="525866"/>
          <w:sz w:val="22"/>
        </w:rPr>
        <w:t xml:space="preserve"> vs KRE’s +8.3% and SPY’s +8.7%. The stock experienced a notable drawdown in mid-May (trough ~$73.42 on May 15, </w:t>
      </w:r>
      <w:r>
        <w:rPr>
          <w:rFonts w:ascii="Calibri" w:hAnsi="Calibri"/>
          <w:b/>
          <w:color w:val="525866"/>
          <w:sz w:val="22"/>
        </w:rPr>
        <w:t>-10.1% from earnings date</w:t>
      </w:r>
      <w:r>
        <w:rPr>
          <w:rFonts w:ascii="Calibri" w:hAnsi="Calibri"/>
          <w:color w:val="525866"/>
          <w:sz w:val="22"/>
        </w:rPr>
        <w:t>), coinciding with broader market volatility and sector rotation. The recovery from mid-May lows has been strong (</w:t>
      </w:r>
      <w:r>
        <w:rPr>
          <w:rFonts w:ascii="Calibri" w:hAnsi="Calibri"/>
          <w:b/>
          <w:color w:val="525866"/>
          <w:sz w:val="22"/>
        </w:rPr>
        <w:t>+18.8% from trough to July 10</w:t>
      </w:r>
      <w:r>
        <w:rPr>
          <w:rFonts w:ascii="Calibri" w:hAnsi="Calibri"/>
          <w:color w:val="525866"/>
          <w:sz w:val="22"/>
        </w:rPr>
        <w:t>), driven by the Bernstein and Morgan Stanley conference appearances where management provided explicit Q2 revenue guidance and reaffirmed the $50B NII target. The DFAST stress test results (June 24) were a positive catalyst, with WFC’s estimated RWA declining ~7% under the proposed Basel III endgame rules — implying potential for increased capital return capacity. The stock’s underperformance vs SPY reflects multiple compression rather than earnings deterioration, as the transformation story has not yet been fully re-rated by the market. Sector ETF used: KRE (SPDR S&amp;P Regional Banking ETF) — appropriate given WFC’s U.S.-focused retail and commercial banking franchise.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6. Material News &amp; Developments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The most important development since Q1 earnings is management’s </w:t>
      </w:r>
      <w:r>
        <w:rPr>
          <w:rFonts w:ascii="Calibri" w:hAnsi="Calibri"/>
          <w:b/>
          <w:color w:val="525866"/>
          <w:sz w:val="22"/>
        </w:rPr>
        <w:t>explicit Q2 revenue directional guidance at conferences</w:t>
      </w:r>
      <w:r>
        <w:rPr>
          <w:rFonts w:ascii="Calibri" w:hAnsi="Calibri"/>
          <w:color w:val="525866"/>
          <w:sz w:val="22"/>
        </w:rPr>
        <w:t xml:space="preserve"> — the first time WFC has provided forward-quarter color outside of an earnings call, signaling elevated management confidence.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June 24, 2026 — DFAST Stress Test Results: </w:t>
      </w:r>
      <w:r>
        <w:rPr>
          <w:rFonts w:ascii="Calibri" w:hAnsi="Calibri"/>
          <w:color w:val="525866"/>
          <w:sz w:val="22"/>
        </w:rPr>
        <w:t xml:space="preserve">WFC disclosed 2026 Dodd-Frank stress test results; estimated RWA reduction of ~7% under proposed Basel III endgame rules implies potential CET1 ratio uplift and increased capital deployment capacity (buybacks/dividends).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Positive for capital return story; management may revisit 10–10.5% CET1 target once rules finalized.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June 24, 2026 — JPM Leadership Succession: </w:t>
      </w:r>
      <w:r>
        <w:rPr>
          <w:rFonts w:ascii="Calibri" w:hAnsi="Calibri"/>
          <w:color w:val="525866"/>
          <w:sz w:val="22"/>
        </w:rPr>
        <w:t xml:space="preserve">JPMorgan elevated Petno and Rohrbaugh to Co-Presidents, granting $100M in performance-based equity — signals succession planning at the largest U.S. bank peer.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Neutral for WFC directly, but highlights industry-wide leadership transition dynamics.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June 24, 2026 — MS Dividend Hike &amp; Buyback: </w:t>
      </w:r>
      <w:r>
        <w:rPr>
          <w:rFonts w:ascii="Calibri" w:hAnsi="Calibri"/>
          <w:color w:val="525866"/>
          <w:sz w:val="22"/>
        </w:rPr>
        <w:t xml:space="preserve">Morgan Stanley hiked dividend 15% and unveiled a $20B buyback following DFAST.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Sets a positive precedent for capital return announcements across large banks post-stress test; WFC bought back ~$4B in Q1 and has capacity to accelerate.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June 9, 2026 — Morgan Stanley U.S. Financials Conference: </w:t>
      </w:r>
      <w:r>
        <w:rPr>
          <w:rFonts w:ascii="Calibri" w:hAnsi="Calibri"/>
          <w:color w:val="525866"/>
          <w:sz w:val="22"/>
        </w:rPr>
        <w:t xml:space="preserve">CFO Santomassimo provided explicit Q2 guidance — mid-teens markets revenue growth YoY, 3–4 bps NIM compression, loan growth tracking better than modeled, and noninterest-bearing deposits more stable than assumed.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Unusually specific forward guidance reduces uncertainty and sets a clear bar.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27, 2026 — Bernstein Strategic Decisions Conference: </w:t>
      </w:r>
      <w:r>
        <w:rPr>
          <w:rFonts w:ascii="Calibri" w:hAnsi="Calibri"/>
          <w:color w:val="525866"/>
          <w:sz w:val="22"/>
        </w:rPr>
        <w:t xml:space="preserve">CEO Scharf provided first-ever explicit forward-quarter revenue guidance — mid-teens growth in markets and IB, low double-digit growth in wealth. Consumer spending described as “even stronger than a couple of months ago.”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Highly constructive signal; management confidence at its highest since asset cap removal.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7, 2026 — Citi Investor Day: </w:t>
      </w:r>
      <w:r>
        <w:rPr>
          <w:rFonts w:ascii="Calibri" w:hAnsi="Calibri"/>
          <w:color w:val="525866"/>
          <w:sz w:val="22"/>
        </w:rPr>
        <w:t xml:space="preserve">Citi outlined its transformation roadmap with NII ex-Markets guided up 5–6% for FY2026 and strong capital markets momentum.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Positive read-through for industry NII trajectory and IB fee environment.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April 14, 2026 — Q1 2026 Earnings: </w:t>
      </w:r>
      <w:r>
        <w:rPr>
          <w:rFonts w:ascii="Calibri" w:hAnsi="Calibri"/>
          <w:color w:val="525866"/>
          <w:sz w:val="22"/>
        </w:rPr>
        <w:t xml:space="preserve">WFC reported Q1 with operating EPS of $1.57 (slight miss vs $1.61 consensus) and NII of $12.10B (miss vs $12.25B). Loan balances crossed $1 trillion for first time since Q1 2020. Final (14th) consent order closed in March 2026. Management maintained all FY guidance.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Headline miss masked strong underlying momentum; regulatory remediation now complete.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7. Insider Transaction Activity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No open-market buys or discretionary sells from senior executives since Q1 earnings — all activity consists of </w:t>
      </w:r>
      <w:r>
        <w:rPr>
          <w:rFonts w:ascii="Calibri" w:hAnsi="Calibri"/>
          <w:b/>
          <w:color w:val="525866"/>
          <w:sz w:val="22"/>
        </w:rPr>
        <w:t>routine director compensation awards and RSU vesting/tax withholding</w:t>
      </w:r>
      <w:r>
        <w:rPr>
          <w:rFonts w:ascii="Calibri" w:hAnsi="Calibri"/>
          <w:color w:val="525866"/>
          <w:sz w:val="22"/>
        </w:rPr>
        <w:t>, which carry no informational signal.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Name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Title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Type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Value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Date (Effective)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Rosenberg, Jason M.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SEVP &amp; Head of Public Affairs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RSU Vesting (M) / Tax Withholding (F)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~17,218 shares vested / ~8,079 shares withheld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June 15,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RSU vesting with mandatory tax withholding; not a discretionary sale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CRAVER, Theodore F. Jr.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Gift Transfer (G)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89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14,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Transfer to revocable trust; no economic signal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Multiple Directors (9)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Annual Compensation Award (A)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3,436 Common Stock Units each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April 28,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annual director equity compensation; no signal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Multiple Directors (3)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Phantom Stock Units (A)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422–1,076 units each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July 1,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director deferred compensation; no signal</w:t>
            </w:r>
          </w:p>
        </w:tc>
      </w:tr>
    </w:tbl>
    <w:p>
      <w:r>
        <w:rPr>
          <w:rFonts w:ascii="Calibri" w:hAnsi="Calibri"/>
          <w:color w:val="525866"/>
          <w:sz w:val="22"/>
        </w:rPr>
        <w:t>There are no open-market purchases (Form 4 code P) or discretionary sales (Form 4 code S) from any named executive officer or director in the period since Q1 earnings. All transactions are routine compensation-related (annual awards, RSU vesting, tax withholding, gift transfers). The absence of insider buying is not a negative signal given the stock’s +6.7% appreciation since earnings; the absence of discretionary selling is a mild positive. No 10b5-1 plan initiations were filed in the period.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8. Peer Commentaries — Read-Through (Last 60 Days)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Peer Q1 2026 earnings calls and conference appearances paint a </w:t>
      </w:r>
      <w:r>
        <w:rPr>
          <w:rFonts w:ascii="Calibri" w:hAnsi="Calibri"/>
          <w:b/>
          <w:color w:val="525866"/>
          <w:sz w:val="22"/>
        </w:rPr>
        <w:t>uniformly constructive picture for WFC’s Q2 setup</w:t>
      </w:r>
      <w:r>
        <w:rPr>
          <w:rFonts w:ascii="Calibri" w:hAnsi="Calibri"/>
          <w:color w:val="525866"/>
          <w:sz w:val="22"/>
        </w:rPr>
        <w:t xml:space="preserve"> — strong markets and IB revenues, resilient consumer credit, and stable-to-improving NII trajectories are all positive read-throughs.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JPMorgan Chase (JPM) — Q1 2026 Earnings (April 14, 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Read-Through Relevance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HIGH</w:t>
            </w:r>
            <w:r>
              <w:rPr>
                <w:rFonts w:ascii="Calibri" w:hAnsi="Calibri"/>
                <w:sz w:val="22"/>
              </w:rPr>
              <w:t xml:space="preserve"> — JPM is the most direct large-bank comp and reports on the same day as WFC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Theme</w:t>
            </w:r>
          </w:p>
        </w:tc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JPM Commentary</w:t>
            </w:r>
          </w:p>
        </w:tc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WFC Read-Through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NII Outlook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NII ex-Markets guided ~$95B for FY2026 (unchanged); total NII now ~$103B. Rates being flat for the year (vs. 2–3 cuts assumed) had only ~20 bps impact on full-year NII average — a modest positive.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Supports WFC’s $50B NII guidance being achievable even with fewer rate cuts.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Investment Banking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IB fees up 28% YoY, driven by M&amp;A and equity underwriting. Pipeline described as “healthy.”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Positive for WFC’s guided mid-teens IB growth in Q2.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Consumer Credit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Consumer spending “above last year’s pace” across all metrics (early roll rates, delinquencies, cash buffers).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Supports WFC’s benign credit quality outlook.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Markets Revenue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Fixed income up 21%, equities up 17%. Balance sheet growth primarily in low-density secured financing (repo).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Validates WFC’s strategy of growing markets balance sheet via financing; confirms industry-wide trend.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Deposit Trends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Average deposits up 2% YoY; consumer deposit growth expected “low to mid-single digits.” Rotation from noninterest-bearing to interest-bearing slowing.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Positive for WFC’s deposit mix normalization thesis.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Basel III / Capital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JPM flagged concern that its CET1 would increase ~4% under proposed rules (vs. Fed’s estimate of -5% for large banks) due to G-SIB surcharge methodology.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WFC’s estimated ~7% RWA reduction is more favorable than JPM’s outcome — a relative positive for WFC’s capital position.</w:t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3B4259"/>
          <w:sz w:val="24"/>
        </w:rPr>
        <w:t>Bank of America (BAC) — Q1 2026 Earnings (April 15, 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Read-Through Relevance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HIGH</w:t>
            </w:r>
            <w:r>
              <w:rPr>
                <w:rFonts w:ascii="Calibri" w:hAnsi="Calibri"/>
                <w:sz w:val="22"/>
              </w:rPr>
              <w:t xml:space="preserve"> — BAC is the closest structural comp to WFC (consumer + commercial + markets)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Theme</w:t>
            </w:r>
          </w:p>
        </w:tc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BAC Commentary</w:t>
            </w:r>
          </w:p>
        </w:tc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WFC Read-Through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NII Outlook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NII FTE up 9% YoY to $15.9B; raised FY2026 NII growth guidance to +6–8% vs 2025 (from prior guidance). Rates being flat for the year is a “slight beneficiary.”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Strongest NII read-through in the peer group; validates WFC’s NII step-up thesis for Q2.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Loan Growth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Average loans up ~9% YoY; C&amp;I loan growth returned in Q1 with ~$5–10B from revolver draws.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Positive for WFC’s commercial loan growth outlook.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Consumer Spending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Consumer spending up 5% YoY (consistent with 2025 pace); debit/credit card spend up 6% YoY. Record 38.5M consumer checking accounts.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Confirms consumer resilience; supports WFC’s card and consumer lending growth.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Credit Quality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Net charge-offs down YoY; provision of $1.3B (down from $1.5B). First quarter in 3+ years with no new nonperforming asset inflows in office CRE.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Positive for WFC’s credit quality outlook; CRE office stress appears to be peaking.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Markets Revenue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Sales and trading up 12% YoY — 15th consecutive quarter of YoY growth. Equities best quarter ever (+30% YoY).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Confirms strong markets environment heading into Q2.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Deposit Costs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Deposit rate paid declined 16 bps to 1.47%; noninterest-bearing deposits “picked up a little” in Q1.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Positive for WFC’s deposit cost trajectory; NIB stabilization is a key WFC thesis.</w:t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3B4259"/>
          <w:sz w:val="24"/>
        </w:rPr>
        <w:t>Citigroup (C) — Q1 2026 Earnings (April 14, 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Read-Through Relevance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MEDIUM</w:t>
            </w:r>
            <w:r>
              <w:rPr>
                <w:rFonts w:ascii="Calibri" w:hAnsi="Calibri"/>
                <w:sz w:val="22"/>
              </w:rPr>
              <w:t xml:space="preserve"> — Citi is more internationally focused but provides useful IB and markets color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Theme</w:t>
            </w:r>
          </w:p>
        </w:tc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Citi Commentary</w:t>
            </w:r>
          </w:p>
        </w:tc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WFC Read-Through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Markets &amp; IB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Markets crossed $7B in revenues for first time in a decade (+19% YoY). M&amp;A up 19% (strongest Q1 in a decade); ECM up 64%.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Confirms exceptional IB and markets environment; supports WFC’s mid-teens guided growth.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NII Trajectory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NII ex-Markets up 7% YoY; FY guidance of +5–6% maintained. Loan growth tracking at ~5% (mid-single digits).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Industry NII trajectory broadly constructive.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Consumer Credit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U.S. card NCL rate guided 4–4.5% for FY2026 (better than prior expectations). Delinquencies declining.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Consumer credit improving across the industry.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Reserve Building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ACL build of $597M with increased downside scenario weighting — reflects macro uncertainty. Reserves incorporate 8-quarter weighted average unemployment of ~5.4%.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Peers are building reserves cautiously; WFC’s stable reserve posture is consistent with industry.</w:t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3B4259"/>
          <w:sz w:val="24"/>
        </w:rPr>
        <w:t>Goldman Sachs (GS) — Q1 2026 Earnings (April 13, 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Read-Through Relevance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MEDIUM</w:t>
            </w:r>
            <w:r>
              <w:rPr>
                <w:rFonts w:ascii="Calibri" w:hAnsi="Calibri"/>
                <w:sz w:val="22"/>
              </w:rPr>
              <w:t xml:space="preserve"> — GS is most relevant for WFC’s CIB and markets ambitions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Theme</w:t>
            </w:r>
          </w:p>
        </w:tc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GS Commentary</w:t>
            </w:r>
          </w:p>
        </w:tc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WFC Read-Through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IB Environment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Record Global Banking &amp; Markets revenues of $12.7B. Advisory revenues up 89% YoY; equity underwriting up 45%; debt underwriting up 8%. CEO Solomon: “The environment for Investment Banking activity continues to be incredibly robust, particularly M&amp;A activity.” Backlog at highest level in 4 years.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Exceptional IB environment; WFC’s goal to be top-5 U.S. IB is being pursued in a favorable market.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Financing / Markets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Equities financing revenues up 59% YoY (record); prime balances at record levels. FICC financing revenues of $1.1B.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Financing-driven balance sheet growth is a broad industry trend — validates WFC’s markets strategy.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NIM Pressure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NIM compression from competitive deposit environment expected to “persist as a headwind for much of 2026.”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Industry-wide NIM pressure from deposit competition; WFC’s guided 3–4 bps Q2 compression is consistent with peers.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Private Credit Quality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GS life-to-date realized losses on FICC financing activities (ex-direct CRE) are zero.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Validates WFC’s NFI/non-bank lending portfolio quality narrative.</w:t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3B4259"/>
          <w:sz w:val="24"/>
        </w:rPr>
        <w:t>Morgan Stanley (MS) — Q1 2026 Earnings (April 15, 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Read-Through Relevance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MEDIUM</w:t>
            </w:r>
            <w:r>
              <w:rPr>
                <w:rFonts w:ascii="Calibri" w:hAnsi="Calibri"/>
                <w:sz w:val="22"/>
              </w:rPr>
              <w:t xml:space="preserve"> — MS most relevant for WFC’s wealth management and IB ambitions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Theme</w:t>
            </w:r>
          </w:p>
        </w:tc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MS Commentary</w:t>
            </w:r>
          </w:p>
        </w:tc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WFC Read-Through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Wealth Management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Record revenues driven by higher asset-based fees and strong net inflows.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Positive for WFC’s wealth business, which guided low double-digit Q2 revenue growth.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Investment Banking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IB fees up 28% YoY; M&amp;A up 19%; ECM up 64%.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Confirms exceptional IB environment across the industry.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Markets Revenue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Fixed income up 13%; equities up nearly 40% (surpassing $2B for first time).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Strong markets environment broadly supportive of WFC’s CIB growth.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Capital Return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Dividend hiked 15% and $20B buyback announced post-DFAST (June 24).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Sets positive precedent for WFC’s capital return potential post-stress test.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Source: </w:t>
      </w:r>
      <w:r>
        <w:rPr>
          <w:rFonts w:ascii="Calibri" w:hAnsi="Calibri"/>
          <w:i/>
          <w:color w:val="525866"/>
          <w:sz w:val="22"/>
        </w:rPr>
        <w:t>Peer commentary sourced from Q1 2026 earnings call transcripts (JPM, BAC, C, GS, MS) and WFC conference transcripts (Bernstein Strategic Decisions Conference, May 27, 2026; Morgan Stanley U.S. Financials Conference, June 9, 2026).</w:t>
      </w:r>
    </w:p>
    <w:sectPr w:rsidR="00FC693F" w:rsidRPr="0006063C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