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blk-earnings-predictions--2026-07-15"/>
    <w:p>
      <w:pPr>
        <w:pStyle w:val="Heading1"/>
      </w:pPr>
      <w:r>
        <w:t xml:space="preserve">BLK Earnings Predictions — 2026-07-15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BLK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Adjusted diluted EPS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~$13.12 vs. cons $12.84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BLK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Long-term net inflows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~$155B vs. cons $128B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BLK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Adjusted operating margin</w:t>
            </w:r>
          </w:p>
        </w:tc>
        <w:tc>
          <w:tcPr/>
          <w:p>
            <w:pPr>
              <w:pStyle w:val="Compact"/>
            </w:pPr>
            <w:r>
              <w:t xml:space="preserve">IN-LINE</w:t>
            </w:r>
          </w:p>
        </w:tc>
        <w:tc>
          <w:tcPr/>
          <w:p>
            <w:pPr>
              <w:pStyle w:val="Compact"/>
            </w:pPr>
            <w:r>
              <w:t xml:space="preserve">pred ~44.8% vs. cons 44.6%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BLK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Adjusted effective tax-rate framework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~25.0% vs. cons 25.0% (2H 2026)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BLK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Quarterly share-repurchase pace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~$450M vs. cons $450M (3Q 2026)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BLK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Technology-services ACV growth commentary</w:t>
            </w:r>
          </w:p>
        </w:tc>
        <w:tc>
          <w:tcPr/>
          <w:p>
            <w:pPr>
              <w:pStyle w:val="Compact"/>
            </w:pPr>
            <w:r>
              <w:t xml:space="preserve">BETTER</w:t>
            </w:r>
          </w:p>
        </w:tc>
        <w:tc>
          <w:tcPr/>
          <w:p>
            <w:pPr>
              <w:pStyle w:val="Compact"/>
            </w:pPr>
            <w:r>
              <w:t xml:space="preserve">guide ~14.0% vs. cons 12.0% (FY 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BLK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Long-term adjusted operating-margin target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~45.0% vs. cons 45.0% (long term)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BLK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+3.2%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BLK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+4.8% (FOLLOW-THROUGH)</w:t>
            </w:r>
          </w:p>
        </w:tc>
        <w:tc>
          <w:tcPr/>
          <w:p>
            <w:pPr>
              <w:pStyle w:val="Compact"/>
            </w:pPr>
            <w:r>
              <w:t xml:space="preserve">Day-5 residual ~4.8% vs. day-1 residual ~3.2%: a recurring-fee/flow-led beat, stable ~45% margin framework, and stronger technology ACV should lift 2026-2027 base-fee and EPS estimates rather than leave upside dependent on volatile performance fees.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2026-07-15T00:02:55Z</dcterms:created>
  <dcterms:modified xsi:type="dcterms:W3CDTF">2026-07-15T00:02:55Z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