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ALLE (Allegion) before writing the preview. Let me gather recent earnings materials, filings, and news.Let me read the most recent earnings materials and check for recent news and prior transcripts.Let me get the prior-year Q2 for comparison, recent stock price, and analyst consensus.Let me read the year-ago Q2 2025 release and check recent news/analyst sentiment.Let me check for consensus estimates and recent analyst sentiment via web search.I now have what I need. Let me compile a couple of quick calculations before writing.Here is the earnings preview.</w:t>
      </w:r>
    </w:p>
    <w:bookmarkStart w:id="19" w:name="X77083fa1e7b7cd0bf6770ac43c09834cc45e3ea"/>
    <w:p>
      <w:pPr>
        <w:pStyle w:val="Heading1"/>
      </w:pPr>
      <w:r>
        <w:t xml:space="preserve">Allegion plc (NYSE: ALLE) — Q2 2026 Earnings Preview</w:t>
      </w:r>
    </w:p>
    <w:p>
      <w:pPr>
        <w:pStyle w:val="FirstParagraph"/>
      </w:pPr>
      <w:r>
        <w:rPr>
          <w:b/>
          <w:bCs/>
        </w:rPr>
        <w:t xml:space="preserve">Report date:</w:t>
      </w:r>
      <w:r>
        <w:t xml:space="preserve"> </w:t>
      </w:r>
      <w:r>
        <w:t xml:space="preserve">Thursday, July 23, 2026 (before market open) ·</w:t>
      </w:r>
      <w:r>
        <w:t xml:space="preserve"> </w:t>
      </w:r>
      <w:r>
        <w:rPr>
          <w:b/>
          <w:bCs/>
        </w:rPr>
        <w:t xml:space="preserve">Event:</w:t>
      </w:r>
      <w:r>
        <w:t xml:space="preserve"> </w:t>
      </w:r>
      <w:r>
        <w:t xml:space="preserve">Q2 2026 Earnings Call ·</w:t>
      </w:r>
      <w:r>
        <w:t xml:space="preserve"> </w:t>
      </w:r>
      <w:r>
        <w:rPr>
          <w:b/>
          <w:bCs/>
        </w:rPr>
        <w:t xml:space="preserve">Recent price:</w:t>
      </w:r>
      <w:r>
        <w:t xml:space="preserve"> </w:t>
      </w:r>
      <w:r>
        <w:t xml:space="preserve">~$140</w:t>
      </w:r>
    </w:p>
    <w:p>
      <w:r>
        <w:pict>
          <v:rect style="width:0;height:1.5pt" o:hralign="center" o:hrstd="t" o:hr="t"/>
        </w:pict>
      </w:r>
    </w:p>
    <w:bookmarkStart w:id="9" w:name="the-one-line-setup"/>
    <w:p>
      <w:pPr>
        <w:pStyle w:val="Heading2"/>
      </w:pPr>
      <w:r>
        <w:t xml:space="preserve">The one-line setup</w:t>
      </w:r>
    </w:p>
    <w:p>
      <w:pPr>
        <w:pStyle w:val="FirstParagraph"/>
      </w:pPr>
      <w:r>
        <w:t xml:space="preserve">ALLE goes into Q2 as a "show-me" story: the Americas non-residential engine is still humming, but the stock has de-rated sharply this year on a soft Q1 EPS miss, a self-inflicted European ERP disruption, and rising tariff/inflation costs. The key questions for this print are (1) whether the International ERP recovery is actually happening, (2) whether tariff-driven pricing lands cleanly, and (3) whether management raises guidance the way it did a year ago — or simply reaffirms.</w:t>
      </w:r>
    </w:p>
    <w:p>
      <w:r>
        <w:pict>
          <v:rect style="width:0;height:1.5pt" o:hralign="center" o:hrstd="t" o:hr="t"/>
        </w:pict>
      </w:r>
    </w:p>
    <w:bookmarkEnd w:id="9"/>
    <w:bookmarkStart w:id="10" w:name="what-the-street-expects"/>
    <w:p>
      <w:pPr>
        <w:pStyle w:val="Heading2"/>
      </w:pPr>
      <w:r>
        <w:t xml:space="preserve">What the Street expects</w:t>
      </w:r>
    </w:p>
    <w:p>
      <w:pPr>
        <w:pStyle w:val="Compact"/>
        <w:numPr>
          <w:ilvl w:val="0"/>
          <w:numId w:val="1001"/>
        </w:numPr>
      </w:pPr>
      <w:r>
        <w:rPr>
          <w:b/>
          <w:bCs/>
        </w:rPr>
        <w:t xml:space="preserve">Q2 adjusted EPS consensus: ~$2.22</w:t>
      </w:r>
      <w:r>
        <w:t xml:space="preserve">, up ~8.8% vs. the $2.04 reported in Q2 2025.</w:t>
      </w:r>
    </w:p>
    <w:p>
      <w:pPr>
        <w:pStyle w:val="Compact"/>
        <w:numPr>
          <w:ilvl w:val="0"/>
          <w:numId w:val="1001"/>
        </w:numPr>
      </w:pPr>
      <w:r>
        <w:rPr>
          <w:b/>
          <w:bCs/>
        </w:rPr>
        <w:t xml:space="preserve">FY2026 consensus EPS: ~</w:t>
      </w:r>
      <m:oMath>
        <m:r>
          <m:t>8.73</m:t>
        </m:r>
        <m:r>
          <m:rPr>
            <m:sty m:val="p"/>
          </m:rPr>
          <m:t>*</m:t>
        </m:r>
        <m:r>
          <m:rPr>
            <m:sty m:val="p"/>
          </m:rPr>
          <m:t>*</m:t>
        </m:r>
        <m:r>
          <m:rPr>
            <m:sty m:val="p"/>
          </m:rPr>
          <m:t>,</m:t>
        </m:r>
        <m:r>
          <m:t>i</m:t>
        </m:r>
        <m:r>
          <m:rPr>
            <m:sty m:val="p"/>
          </m:rPr>
          <m:t>.</m:t>
        </m:r>
        <m:r>
          <m:t>e</m:t>
        </m:r>
        <m:r>
          <m:rPr>
            <m:sty m:val="p"/>
          </m:rPr>
          <m:t>.</m:t>
        </m:r>
        <m:r>
          <m:rPr>
            <m:sty m:val="p"/>
          </m:rPr>
          <m:t>,</m:t>
        </m:r>
        <m:r>
          <m:t>n</m:t>
        </m:r>
        <m:r>
          <m:t>e</m:t>
        </m:r>
        <m:r>
          <m:t>a</m:t>
        </m:r>
        <m:r>
          <m:t>r</m:t>
        </m:r>
        <m:r>
          <m:t>t</m:t>
        </m:r>
        <m:r>
          <m:t>h</m:t>
        </m:r>
        <m:r>
          <m:t>e</m:t>
        </m:r>
        <m:r>
          <m:rPr>
            <m:sty m:val="p"/>
          </m:rPr>
          <m:t>*</m:t>
        </m:r>
        <m:r>
          <m:rPr>
            <m:sty m:val="p"/>
          </m:rPr>
          <m:t>*</m:t>
        </m:r>
        <m:r>
          <m:t>l</m:t>
        </m:r>
        <m:r>
          <m:t>o</m:t>
        </m:r>
        <m:r>
          <m:t>w</m:t>
        </m:r>
        <m:r>
          <m:t>e</m:t>
        </m:r>
        <m:r>
          <m:t>n</m:t>
        </m:r>
        <m:r>
          <m:t>d</m:t>
        </m:r>
        <m:r>
          <m:rPr>
            <m:sty m:val="p"/>
          </m:rPr>
          <m:t>*</m:t>
        </m:r>
        <m:r>
          <m:rPr>
            <m:sty m:val="p"/>
          </m:rPr>
          <m:t>*</m:t>
        </m:r>
        <m:r>
          <m:t>o</m:t>
        </m:r>
        <m:r>
          <m:t>f</m:t>
        </m:r>
        <m:r>
          <m:t>m</m:t>
        </m:r>
        <m:r>
          <m:t>a</m:t>
        </m:r>
        <m:r>
          <m:t>n</m:t>
        </m:r>
        <m:r>
          <m:t>a</m:t>
        </m:r>
        <m:r>
          <m:t>g</m:t>
        </m:r>
        <m:r>
          <m:t>e</m:t>
        </m:r>
        <m:r>
          <m:t>m</m:t>
        </m:r>
        <m:r>
          <m:t>e</m:t>
        </m:r>
        <m:r>
          <m:t>n</m:t>
        </m:r>
        <m:sSup>
          <m:e>
            <m:r>
              <m:t>t</m:t>
            </m:r>
          </m:e>
          <m:sup>
            <m:r>
              <m:rPr>
                <m:sty m:val="p"/>
              </m:rPr>
              <m:t>′</m:t>
            </m:r>
          </m:sup>
        </m:sSup>
        <m:r>
          <m:t>s</m:t>
        </m:r>
        <m:r>
          <m:t>a</m:t>
        </m:r>
        <m:r>
          <m:t>f</m:t>
        </m:r>
        <m:r>
          <m:t>f</m:t>
        </m:r>
        <m:r>
          <m:t>i</m:t>
        </m:r>
        <m:r>
          <m:t>r</m:t>
        </m:r>
        <m:r>
          <m:t>m</m:t>
        </m:r>
        <m:r>
          <m:t>e</m:t>
        </m:r>
        <m:r>
          <m:t>d</m:t>
        </m:r>
        <m:r>
          <m:rPr>
            <m:sty m:val="p"/>
          </m:rPr>
          <m:t>*</m:t>
        </m:r>
        <m:r>
          <m:rPr>
            <m:sty m:val="p"/>
          </m:rPr>
          <m:t>*</m:t>
        </m:r>
      </m:oMath>
      <w:r>
        <w:rPr>
          <w:b/>
          <w:bCs/>
        </w:rPr>
        <w:t xml:space="preserve">8.70–$8.90</w:t>
      </w:r>
      <w:r>
        <w:t xml:space="preserve"> </w:t>
      </w:r>
      <w:r>
        <w:t xml:space="preserve">range.</w:t>
      </w:r>
    </w:p>
    <w:p>
      <w:pPr>
        <w:pStyle w:val="Compact"/>
        <w:numPr>
          <w:ilvl w:val="0"/>
          <w:numId w:val="1001"/>
        </w:numPr>
      </w:pPr>
      <w:r>
        <w:t xml:space="preserve">Sell-side stance is broadly</w:t>
      </w:r>
      <w:r>
        <w:t xml:space="preserve"> </w:t>
      </w:r>
      <w:r>
        <w:rPr>
          <w:b/>
          <w:bCs/>
        </w:rPr>
        <w:t xml:space="preserve">neutral / "Moderate Buy"</w:t>
      </w:r>
      <w:r>
        <w:t xml:space="preserve"> </w:t>
      </w:r>
      <w:r>
        <w:t xml:space="preserve">— few outright bulls, mostly Holds.</w:t>
      </w:r>
    </w:p>
    <w:p>
      <w:pPr>
        <w:pStyle w:val="Compact"/>
        <w:numPr>
          <w:ilvl w:val="0"/>
          <w:numId w:val="1001"/>
        </w:numPr>
      </w:pPr>
      <w:r>
        <w:rPr>
          <w:b/>
          <w:bCs/>
        </w:rPr>
        <w:t xml:space="preserve">The math matters:</w:t>
      </w:r>
      <w:r>
        <w:t xml:space="preserve"> </w:t>
      </w:r>
      <w:r>
        <w:t xml:space="preserve">With Q1 adjusted EPS of $1.80, a</w:t>
      </w:r>
      <w:r>
        <w:t xml:space="preserve"> </w:t>
      </w:r>
      <m:oMath>
        <m:r>
          <m:t>2.22</m:t>
        </m:r>
        <m:r>
          <m:t>Q</m:t>
        </m:r>
        <m:r>
          <m:t>2</m:t>
        </m:r>
        <m:r>
          <m:t>w</m:t>
        </m:r>
        <m:r>
          <m:t>o</m:t>
        </m:r>
        <m:r>
          <m:t>u</m:t>
        </m:r>
        <m:r>
          <m:t>l</m:t>
        </m:r>
        <m:r>
          <m:t>d</m:t>
        </m:r>
        <m:r>
          <m:t>p</m:t>
        </m:r>
        <m:r>
          <m:t>u</m:t>
        </m:r>
        <m:r>
          <m:t>t</m:t>
        </m:r>
        <m:r>
          <m:t>f</m:t>
        </m:r>
        <m:r>
          <m:t>i</m:t>
        </m:r>
        <m:r>
          <m:t>r</m:t>
        </m:r>
        <m:r>
          <m:t>s</m:t>
        </m:r>
        <m:r>
          <m:t>t</m:t>
        </m:r>
        <m:r>
          <m:rPr>
            <m:sty m:val="p"/>
          </m:rPr>
          <m:t>−</m:t>
        </m:r>
        <m:r>
          <m:t>h</m:t>
        </m:r>
        <m:r>
          <m:t>a</m:t>
        </m:r>
        <m:r>
          <m:t>l</m:t>
        </m:r>
        <m:r>
          <m:t>f</m:t>
        </m:r>
        <m:r>
          <m:t>E</m:t>
        </m:r>
        <m:r>
          <m:t>P</m:t>
        </m:r>
        <m:r>
          <m:t>S</m:t>
        </m:r>
        <m:r>
          <m:t>a</m:t>
        </m:r>
        <m:r>
          <m:t>t</m:t>
        </m:r>
        <m:r>
          <m:t> </m:t>
        </m:r>
      </m:oMath>
      <w:r>
        <w:t xml:space="preserve">4.02, implying</w:t>
      </w:r>
      <w:r>
        <w:t xml:space="preserve"> </w:t>
      </w:r>
      <w:r>
        <w:rPr>
          <w:b/>
          <w:bCs/>
        </w:rPr>
        <w:t xml:space="preserve">~54% of full-year EPS falls in H2</w:t>
      </w:r>
      <w:r>
        <w:t xml:space="preserve">. That squares with management's explicit "back-half-loaded" framing, but it means Q2 is a bridge quarter, not the proof point — and the bar of +9% YoY EPS growth is demanding against the margin cadence management laid out (see below).</w:t>
      </w:r>
    </w:p>
    <w:p>
      <w:r>
        <w:pict>
          <v:rect style="width:0;height:1.5pt" o:hralign="center" o:hrstd="t" o:hr="t"/>
        </w:pict>
      </w:r>
    </w:p>
    <w:bookmarkEnd w:id="10"/>
    <w:bookmarkStart w:id="11" w:name="context-how-we-got-here"/>
    <w:p>
      <w:pPr>
        <w:pStyle w:val="Heading2"/>
      </w:pPr>
      <w:r>
        <w:t xml:space="preserve">Context: how we got here</w:t>
      </w:r>
    </w:p>
    <w:p>
      <w:pPr>
        <w:pStyle w:val="Compact"/>
        <w:numPr>
          <w:ilvl w:val="0"/>
          <w:numId w:val="1002"/>
        </w:numPr>
      </w:pPr>
      <w:r>
        <w:rPr>
          <w:b/>
          <w:bCs/>
        </w:rPr>
        <w:t xml:space="preserve">Q1 2026 was a miss and the stock reacted hard.</w:t>
      </w:r>
      <w:r>
        <w:t xml:space="preserve"> </w:t>
      </w:r>
      <w:r>
        <w:t xml:space="preserve">Revenue of $1,033.6M beat (up 9.7% reported / 2.6% organic), but adjusted EPS of $1.80 fell 3.2% YoY and missed. Adjusted operating margin compressed 150 bps to 21.2%. Shares fell ~8% on the day.</w:t>
      </w:r>
    </w:p>
    <w:p>
      <w:pPr>
        <w:pStyle w:val="Compact"/>
        <w:numPr>
          <w:ilvl w:val="0"/>
          <w:numId w:val="1002"/>
        </w:numPr>
      </w:pPr>
      <w:r>
        <w:rPr>
          <w:b/>
          <w:bCs/>
        </w:rPr>
        <w:t xml:space="preserve">The stock has meaningfully de-rated.</w:t>
      </w:r>
      <w:r>
        <w:t xml:space="preserve"> </w:t>
      </w:r>
      <w:r>
        <w:t xml:space="preserve">ALLE is down ~13% YTD (from ~</w:t>
      </w:r>
      <m:oMath>
        <m:r>
          <m:t>161</m:t>
        </m:r>
        <m:r>
          <m:t>t</m:t>
        </m:r>
        <m:r>
          <m:t>o</m:t>
        </m:r>
        <m:r>
          <m:t> </m:t>
        </m:r>
      </m:oMath>
      <w:r>
        <w:t xml:space="preserve">140) and ~22% off its February high near</w:t>
      </w:r>
      <w:r>
        <w:t xml:space="preserve"> </w:t>
      </w:r>
      <m:oMath>
        <m:r>
          <m:t>180</m:t>
        </m:r>
        <m:r>
          <m:rPr>
            <m:sty m:val="p"/>
          </m:rPr>
          <m:t>,</m:t>
        </m:r>
        <m:r>
          <m:t>b</m:t>
        </m:r>
        <m:r>
          <m:t>a</m:t>
        </m:r>
        <m:r>
          <m:t>d</m:t>
        </m:r>
        <m:r>
          <m:t>l</m:t>
        </m:r>
        <m:r>
          <m:t>y</m:t>
        </m:r>
        <m:r>
          <m:t>l</m:t>
        </m:r>
        <m:r>
          <m:t>a</m:t>
        </m:r>
        <m:r>
          <m:t>g</m:t>
        </m:r>
        <m:r>
          <m:t>g</m:t>
        </m:r>
        <m:r>
          <m:t>i</m:t>
        </m:r>
        <m:r>
          <m:t>n</m:t>
        </m:r>
        <m:r>
          <m:t>g</m:t>
        </m:r>
        <m:r>
          <m:t>t</m:t>
        </m:r>
        <m:r>
          <m:t>h</m:t>
        </m:r>
        <m:r>
          <m:t>e</m:t>
        </m:r>
        <m:r>
          <m:t>b</m:t>
        </m:r>
        <m:r>
          <m:t>r</m:t>
        </m:r>
        <m:r>
          <m:t>o</m:t>
        </m:r>
        <m:r>
          <m:t>a</m:t>
        </m:r>
        <m:r>
          <m:t>d</m:t>
        </m:r>
        <m:r>
          <m:t>e</m:t>
        </m:r>
        <m:r>
          <m:t>r</m:t>
        </m:r>
        <m:r>
          <m:t>m</m:t>
        </m:r>
        <m:r>
          <m:t>a</m:t>
        </m:r>
        <m:r>
          <m:t>r</m:t>
        </m:r>
        <m:r>
          <m:t>k</m:t>
        </m:r>
        <m:r>
          <m:t>e</m:t>
        </m:r>
        <m:r>
          <m:t>t</m:t>
        </m:r>
        <m:r>
          <m:rPr>
            <m:sty m:val="p"/>
          </m:rPr>
          <m:t>.</m:t>
        </m:r>
        <m:r>
          <m:t>A</m:t>
        </m:r>
        <m:r>
          <m:t>t</m:t>
        </m:r>
        <m:r>
          <m:t> </m:t>
        </m:r>
      </m:oMath>
      <w:r>
        <w:t xml:space="preserve">140 on ~$8.80 of FY EPS, it trades around</w:t>
      </w:r>
      <w:r>
        <w:t xml:space="preserve"> </w:t>
      </w:r>
      <w:r>
        <w:rPr>
          <w:b/>
          <w:bCs/>
        </w:rPr>
        <w:t xml:space="preserve">16x forward earnings</w:t>
      </w:r>
      <w:r>
        <w:t xml:space="preserve"> </w:t>
      </w:r>
      <w:r>
        <w:t xml:space="preserve">— cheap versus its own history, reflecting the market's skepticism.</w:t>
      </w:r>
    </w:p>
    <w:p>
      <w:pPr>
        <w:pStyle w:val="Compact"/>
        <w:numPr>
          <w:ilvl w:val="0"/>
          <w:numId w:val="1002"/>
        </w:numPr>
      </w:pPr>
      <w:r>
        <w:rPr>
          <w:b/>
          <w:bCs/>
        </w:rPr>
        <w:t xml:space="preserve">A year ago, Q2 2025 was a high-water mark:</w:t>
      </w:r>
      <w:r>
        <w:t xml:space="preserve"> </w:t>
      </w:r>
      <w:r>
        <w:t xml:space="preserve">first-ever $1B+ revenue quarter, adjusted op margin of 23.7%, and management</w:t>
      </w:r>
      <w:r>
        <w:t xml:space="preserve"> </w:t>
      </w:r>
      <w:r>
        <w:rPr>
          <w:i/>
          <w:iCs/>
        </w:rPr>
        <w:t xml:space="preserve">raised</w:t>
      </w:r>
      <w:r>
        <w:t xml:space="preserve"> </w:t>
      </w:r>
      <w:r>
        <w:t xml:space="preserve">full-year guidance. That is the comp ALLE now laps — a tough one.</w:t>
      </w:r>
    </w:p>
    <w:p>
      <w:r>
        <w:pict>
          <v:rect style="width:0;height:1.5pt" o:hralign="center" o:hrstd="t" o:hr="t"/>
        </w:pict>
      </w:r>
    </w:p>
    <w:bookmarkEnd w:id="11"/>
    <w:bookmarkStart w:id="16" w:name="key-debates-into-the-print"/>
    <w:p>
      <w:pPr>
        <w:pStyle w:val="Heading2"/>
      </w:pPr>
      <w:r>
        <w:t xml:space="preserve">Key debates into the print</w:t>
      </w:r>
    </w:p>
    <w:bookmarkStart w:id="12" w:name="X098147fdcc051a3e1e0dea0457651cb1f605b7e"/>
    <w:p>
      <w:pPr>
        <w:pStyle w:val="Heading3"/>
      </w:pPr>
      <w:r>
        <w:t xml:space="preserve">1) International / ERP recovery — the biggest swing factor</w:t>
      </w:r>
    </w:p>
    <w:p>
      <w:pPr>
        <w:pStyle w:val="FirstParagraph"/>
      </w:pPr>
      <w:r>
        <w:t xml:space="preserve">The whole Q1 shortfall in International traces to an ERP implementation in one</w:t>
      </w:r>
      <w:r>
        <w:t xml:space="preserve"> </w:t>
      </w:r>
      <w:r>
        <w:rPr>
          <w:b/>
          <w:bCs/>
        </w:rPr>
        <w:t xml:space="preserve">legacy mechanical business in Europe</w:t>
      </w:r>
      <w:r>
        <w:t xml:space="preserve">, which drove organic revenue</w:t>
      </w:r>
      <w:r>
        <w:t xml:space="preserve"> </w:t>
      </w:r>
      <w:r>
        <w:rPr>
          <w:b/>
          <w:bCs/>
        </w:rPr>
        <w:t xml:space="preserve">down 5.3%</w:t>
      </w:r>
      <w:r>
        <w:t xml:space="preserve"> </w:t>
      </w:r>
      <w:r>
        <w:t xml:space="preserve">and crushed segment adjusted margin to</w:t>
      </w:r>
      <w:r>
        <w:t xml:space="preserve"> </w:t>
      </w:r>
      <w:r>
        <w:rPr>
          <w:b/>
          <w:bCs/>
        </w:rPr>
        <w:t xml:space="preserve">8.0%</w:t>
      </w:r>
      <w:r>
        <w:t xml:space="preserve"> </w:t>
      </w:r>
      <w:r>
        <w:t xml:space="preserve">(from ~13% type levels). Management insisted this is an execution issue, not a demand issue, and said orders and backlog support recovering the shortfall "over the balance of the year," with production rates already improving.</w:t>
      </w:r>
    </w:p>
    <w:p>
      <w:pPr>
        <w:pStyle w:val="Compact"/>
        <w:numPr>
          <w:ilvl w:val="0"/>
          <w:numId w:val="1003"/>
        </w:numPr>
      </w:pPr>
      <w:r>
        <w:rPr>
          <w:b/>
          <w:bCs/>
        </w:rPr>
        <w:t xml:space="preserve">What to watch:</w:t>
      </w:r>
      <w:r>
        <w:t xml:space="preserve"> </w:t>
      </w:r>
      <w:r>
        <w:t xml:space="preserve">International organic growth turning back toward flat/positive and margin recovering sequentially. Management cautioned Q2 International margins would still be "a little softer" YoY, so don't expect a full snap-back this quarter — investors want</w:t>
      </w:r>
      <w:r>
        <w:t xml:space="preserve"> </w:t>
      </w:r>
      <w:r>
        <w:rPr>
          <w:i/>
          <w:iCs/>
        </w:rPr>
        <w:t xml:space="preserve">evidence of the trajectory</w:t>
      </w:r>
      <w:r>
        <w:t xml:space="preserve">. Jeff Sprague's pointed question on the call (do you actually recover lost volume, or does a competitor fill the void?) is the risk to keep in mind.</w:t>
      </w:r>
    </w:p>
    <w:bookmarkEnd w:id="12"/>
    <w:bookmarkStart w:id="13" w:name="X7992e3df2c7e611de3e0f3c217cc57ce3f0b1e4"/>
    <w:p>
      <w:pPr>
        <w:pStyle w:val="Heading3"/>
      </w:pPr>
      <w:r>
        <w:t xml:space="preserve">2) Americas non-residential momentum vs. residential softness</w:t>
      </w:r>
    </w:p>
    <w:p>
      <w:pPr>
        <w:pStyle w:val="Compact"/>
        <w:numPr>
          <w:ilvl w:val="0"/>
          <w:numId w:val="1004"/>
        </w:numPr>
      </w:pPr>
      <w:r>
        <w:rPr>
          <w:b/>
          <w:bCs/>
        </w:rPr>
        <w:t xml:space="preserve">Non-res is the crown jewel:</w:t>
      </w:r>
      <w:r>
        <w:t xml:space="preserve"> </w:t>
      </w:r>
      <w:r>
        <w:t xml:space="preserve">management called spec activity "strong… maybe very strong," broad-based, with volume growth still expected for the full year. Watch whether non-res organic growth stays mid-single-digit+ and whether spec-to-order timing shows any elongation (it wasn't as of Q1).</w:t>
      </w:r>
    </w:p>
    <w:p>
      <w:pPr>
        <w:pStyle w:val="Compact"/>
        <w:numPr>
          <w:ilvl w:val="0"/>
          <w:numId w:val="1004"/>
        </w:numPr>
      </w:pPr>
      <w:r>
        <w:rPr>
          <w:b/>
          <w:bCs/>
        </w:rPr>
        <w:t xml:space="preserve">Residential remains soft:</w:t>
      </w:r>
      <w:r>
        <w:t xml:space="preserve"> </w:t>
      </w:r>
      <w:r>
        <w:t xml:space="preserve">flat organically in Q1 (price offsetting volume declines). New build weak, aftermarket "treading water." No inflection expected.</w:t>
      </w:r>
    </w:p>
    <w:p>
      <w:pPr>
        <w:pStyle w:val="Compact"/>
        <w:numPr>
          <w:ilvl w:val="0"/>
          <w:numId w:val="1004"/>
        </w:numPr>
      </w:pPr>
      <w:r>
        <w:rPr>
          <w:b/>
          <w:bCs/>
        </w:rPr>
        <w:t xml:space="preserve">Electronics decelerated</w:t>
      </w:r>
      <w:r>
        <w:t xml:space="preserve"> </w:t>
      </w:r>
      <w:r>
        <w:t xml:space="preserve">to mid-single-digits in Q1 from double-digit growth in 2025. Management frames this as a tough comp and still the key long-term growth/outgrowth driver. A re-acceleration would be a positive tell; continued deceleration would raise questions.</w:t>
      </w:r>
    </w:p>
    <w:bookmarkEnd w:id="13"/>
    <w:bookmarkStart w:id="14" w:name="X29f375ad88d90024e2b9cef79a818359f09ec30"/>
    <w:p>
      <w:pPr>
        <w:pStyle w:val="Heading3"/>
      </w:pPr>
      <w:r>
        <w:t xml:space="preserve">3) Tariffs, pricing and the margin bridge (PPII)</w:t>
      </w:r>
    </w:p>
    <w:p>
      <w:pPr>
        <w:pStyle w:val="Compact"/>
        <w:numPr>
          <w:ilvl w:val="0"/>
          <w:numId w:val="1005"/>
        </w:numPr>
      </w:pPr>
      <w:r>
        <w:t xml:space="preserve">Management flagged an</w:t>
      </w:r>
      <w:r>
        <w:t xml:space="preserve"> </w:t>
      </w:r>
      <w:r>
        <w:rPr>
          <w:b/>
          <w:bCs/>
        </w:rPr>
        <w:t xml:space="preserve">incremental ~1% of COGS headwind</w:t>
      </w:r>
      <w:r>
        <w:t xml:space="preserve"> </w:t>
      </w:r>
      <w:r>
        <w:t xml:space="preserve">from tariffs (IEEPA/Section 122/232 changes) plus fuel inflation, to be offset</w:t>
      </w:r>
      <w:r>
        <w:t xml:space="preserve"> </w:t>
      </w:r>
      <w:r>
        <w:rPr>
          <w:b/>
          <w:bCs/>
        </w:rPr>
        <w:t xml:space="preserve">dollar-for-dollar</w:t>
      </w:r>
      <w:r>
        <w:t xml:space="preserve"> </w:t>
      </w:r>
      <w:r>
        <w:t xml:space="preserve">at the operating income/EPS line via</w:t>
      </w:r>
      <w:r>
        <w:t xml:space="preserve"> </w:t>
      </w:r>
      <w:r>
        <w:rPr>
          <w:b/>
          <w:bCs/>
        </w:rPr>
        <w:t xml:space="preserve">price + cost actions</w:t>
      </w:r>
      <w:r>
        <w:t xml:space="preserve">.</w:t>
      </w:r>
    </w:p>
    <w:p>
      <w:pPr>
        <w:pStyle w:val="Compact"/>
        <w:numPr>
          <w:ilvl w:val="0"/>
          <w:numId w:val="1005"/>
        </w:numPr>
      </w:pPr>
      <w:r>
        <w:t xml:space="preserve">Crucially, at Q1 those pricing actions were</w:t>
      </w:r>
      <w:r>
        <w:t xml:space="preserve"> </w:t>
      </w:r>
      <w:r>
        <w:rPr>
          <w:b/>
          <w:bCs/>
        </w:rPr>
        <w:t xml:space="preserve">not yet in the market</w:t>
      </w:r>
      <w:r>
        <w:t xml:space="preserve">, so guidance did</w:t>
      </w:r>
      <w:r>
        <w:t xml:space="preserve"> </w:t>
      </w:r>
      <w:r>
        <w:rPr>
          <w:b/>
          <w:bCs/>
        </w:rPr>
        <w:t xml:space="preserve">not</w:t>
      </w:r>
      <w:r>
        <w:t xml:space="preserve"> </w:t>
      </w:r>
      <w:r>
        <w:t xml:space="preserve">yet include incremental price.</w:t>
      </w:r>
      <w:r>
        <w:t xml:space="preserve"> </w:t>
      </w:r>
      <w:r>
        <w:rPr>
          <w:b/>
          <w:bCs/>
        </w:rPr>
        <w:t xml:space="preserve">This is the guidance catalyst:</w:t>
      </w:r>
      <w:r>
        <w:t xml:space="preserve"> </w:t>
      </w:r>
      <w:r>
        <w:t xml:space="preserve">watch for (a) confirmation that surcharges/list price increases have gone live, and (b) whether management now folds incremental pricing into the organic revenue outlook — potentially setting up a guidance raise, echoing the 2025 playbook.</w:t>
      </w:r>
    </w:p>
    <w:p>
      <w:pPr>
        <w:pStyle w:val="Compact"/>
        <w:numPr>
          <w:ilvl w:val="0"/>
          <w:numId w:val="1005"/>
        </w:numPr>
      </w:pPr>
      <w:r>
        <w:rPr>
          <w:b/>
          <w:bCs/>
        </w:rPr>
        <w:t xml:space="preserve">Margin cadence caveat:</w:t>
      </w:r>
      <w:r>
        <w:t xml:space="preserve"> </w:t>
      </w:r>
      <w:r>
        <w:t xml:space="preserve">management guided Americas margins to be roughly flat / "not expansionary" YoY in Q2, with most expansion weighted to H2.</w:t>
      </w:r>
      <w:r>
        <w:t xml:space="preserve"> </w:t>
      </w:r>
      <w:r>
        <w:rPr>
          <w:b/>
          <w:bCs/>
        </w:rPr>
        <w:t xml:space="preserve">DCI</w:t>
      </w:r>
      <w:r>
        <w:t xml:space="preserve"> </w:t>
      </w:r>
      <w:r>
        <w:t xml:space="preserve">(the March West Coast hollow-metal door acquisition, low-double-digit EBITDA margin) is a</w:t>
      </w:r>
      <w:r>
        <w:t xml:space="preserve"> </w:t>
      </w:r>
      <w:r>
        <w:rPr>
          <w:b/>
          <w:bCs/>
        </w:rPr>
        <w:t xml:space="preserve">~30 bps full-year margin drag</w:t>
      </w:r>
      <w:r>
        <w:t xml:space="preserve">. There's also a</w:t>
      </w:r>
      <w:r>
        <w:t xml:space="preserve"> </w:t>
      </w:r>
      <w:r>
        <w:rPr>
          <w:b/>
          <w:bCs/>
        </w:rPr>
        <w:t xml:space="preserve">Mexican peso</w:t>
      </w:r>
      <w:r>
        <w:t xml:space="preserve"> </w:t>
      </w:r>
      <w:r>
        <w:t xml:space="preserve">transactional-FX comp headwind specifically in Q2. Net: reported Q2 margins could still look flattish-to-down YoY, which sits somewhat uneasily against the +9% EPS consensus.</w:t>
      </w:r>
    </w:p>
    <w:bookmarkEnd w:id="14"/>
    <w:bookmarkStart w:id="15" w:name="Xf10f88bef0cb1471beeba79be221ead199c9edd"/>
    <w:p>
      <w:pPr>
        <w:pStyle w:val="Heading3"/>
      </w:pPr>
      <w:r>
        <w:t xml:space="preserve">4) Capital allocation</w:t>
      </w:r>
    </w:p>
    <w:p>
      <w:pPr>
        <w:pStyle w:val="Compact"/>
        <w:numPr>
          <w:ilvl w:val="0"/>
          <w:numId w:val="1006"/>
        </w:numPr>
      </w:pPr>
      <w:r>
        <w:t xml:space="preserve">Balance sheet is healthy at</w:t>
      </w:r>
      <w:r>
        <w:t xml:space="preserve"> </w:t>
      </w:r>
      <w:r>
        <w:rPr>
          <w:b/>
          <w:bCs/>
        </w:rPr>
        <w:t xml:space="preserve">1.7x net debt/EBITDA</w:t>
      </w:r>
      <w:r>
        <w:t xml:space="preserve">. Board authorized a fresh **</w:t>
      </w:r>
      <m:oMath>
        <m:r>
          <m:t>500</m:t>
        </m:r>
        <m:r>
          <m:t>M</m:t>
        </m:r>
        <m:r>
          <m:t>b</m:t>
        </m:r>
        <m:r>
          <m:t>u</m:t>
        </m:r>
        <m:r>
          <m:t>y</m:t>
        </m:r>
        <m:r>
          <m:t>b</m:t>
        </m:r>
        <m:r>
          <m:t>a</m:t>
        </m:r>
        <m:r>
          <m:t>c</m:t>
        </m:r>
        <m:r>
          <m:t>k</m:t>
        </m:r>
        <m:r>
          <m:rPr>
            <m:sty m:val="p"/>
          </m:rPr>
          <m:t>*</m:t>
        </m:r>
        <m:r>
          <m:rPr>
            <m:sty m:val="p"/>
          </m:rPr>
          <m:t>*</m:t>
        </m:r>
        <m:r>
          <m:rPr>
            <m:sty m:val="p"/>
          </m:rPr>
          <m:t>;</m:t>
        </m:r>
        <m:r>
          <m:t>A</m:t>
        </m:r>
        <m:r>
          <m:t>L</m:t>
        </m:r>
        <m:r>
          <m:t>L</m:t>
        </m:r>
        <m:r>
          <m:t>E</m:t>
        </m:r>
        <m:r>
          <m:t>r</m:t>
        </m:r>
        <m:r>
          <m:t>e</m:t>
        </m:r>
        <m:r>
          <m:t>p</m:t>
        </m:r>
        <m:r>
          <m:t>u</m:t>
        </m:r>
        <m:r>
          <m:t>r</m:t>
        </m:r>
        <m:r>
          <m:t>c</m:t>
        </m:r>
        <m:r>
          <m:t>h</m:t>
        </m:r>
        <m:r>
          <m:t>a</m:t>
        </m:r>
        <m:r>
          <m:t>s</m:t>
        </m:r>
        <m:r>
          <m:t>e</m:t>
        </m:r>
        <m:r>
          <m:t>d</m:t>
        </m:r>
        <m:r>
          <m:t> </m:t>
        </m:r>
      </m:oMath>
      <w:r>
        <w:t xml:space="preserve">40M/quarter in Q1 and pays a ~$0.55 quarterly dividend.</w:t>
      </w:r>
    </w:p>
    <w:p>
      <w:pPr>
        <w:pStyle w:val="Compact"/>
        <w:numPr>
          <w:ilvl w:val="0"/>
          <w:numId w:val="1006"/>
        </w:numPr>
      </w:pPr>
      <w:r>
        <w:t xml:space="preserve">With the stock down sharply, watch for a</w:t>
      </w:r>
      <w:r>
        <w:t xml:space="preserve"> </w:t>
      </w:r>
      <w:r>
        <w:rPr>
          <w:b/>
          <w:bCs/>
        </w:rPr>
        <w:t xml:space="preserve">faster buyback pace</w:t>
      </w:r>
      <w:r>
        <w:t xml:space="preserve"> </w:t>
      </w:r>
      <w:r>
        <w:t xml:space="preserve">("we understand where we're trading"), alongside a stated-active bolt-on M&amp;A pipeline. Signs of accelerated repurchase would be read positively given the depressed valuation.</w:t>
      </w:r>
    </w:p>
    <w:p>
      <w:r>
        <w:pict>
          <v:rect style="width:0;height:1.5pt" o:hralign="center" o:hrstd="t" o:hr="t"/>
        </w:pict>
      </w:r>
    </w:p>
    <w:bookmarkEnd w:id="15"/>
    <w:bookmarkEnd w:id="16"/>
    <w:bookmarkStart w:id="17" w:name="Xd5849065b4ff9b3984affbdfcb20ea01c9b91d3"/>
    <w:p>
      <w:pPr>
        <w:pStyle w:val="Heading2"/>
      </w:pPr>
      <w:r>
        <w:t xml:space="preserve">Scorecard — what to key on Thursday morning</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Item</w:t>
            </w:r>
          </w:p>
        </w:tc>
        <w:tc>
          <w:tcPr/>
          <w:p>
            <w:pPr>
              <w:pStyle w:val="Compact"/>
            </w:pPr>
            <w:r>
              <w:t xml:space="preserve">Look for</w:t>
            </w:r>
          </w:p>
        </w:tc>
        <w:tc>
          <w:tcPr/>
          <w:p>
            <w:pPr>
              <w:pStyle w:val="Compact"/>
            </w:pPr>
            <w:r>
              <w:t xml:space="preserve">Bullish signal</w:t>
            </w:r>
          </w:p>
        </w:tc>
        <w:tc>
          <w:tcPr/>
          <w:p>
            <w:pPr>
              <w:pStyle w:val="Compact"/>
            </w:pPr>
            <w:r>
              <w:t xml:space="preserve">Bearish signal</w:t>
            </w:r>
          </w:p>
        </w:tc>
      </w:tr>
      <w:tr>
        <w:tc>
          <w:tcPr/>
          <w:p>
            <w:pPr>
              <w:pStyle w:val="Compact"/>
            </w:pPr>
            <w:r>
              <w:t xml:space="preserve">Adjusted EPS</w:t>
            </w:r>
          </w:p>
        </w:tc>
        <w:tc>
          <w:tcPr/>
          <w:p>
            <w:pPr>
              <w:pStyle w:val="Compact"/>
            </w:pPr>
            <w:r>
              <w:t xml:space="preserve">Consensus ~$2.22</w:t>
            </w:r>
          </w:p>
        </w:tc>
        <w:tc>
          <w:tcPr/>
          <w:p>
            <w:pPr>
              <w:pStyle w:val="Compact"/>
            </w:pPr>
            <w:r>
              <w:t xml:space="preserve">Beat + guide raise</w:t>
            </w:r>
          </w:p>
        </w:tc>
        <w:tc>
          <w:tcPr/>
          <w:p>
            <w:pPr>
              <w:pStyle w:val="Compact"/>
            </w:pPr>
            <w:r>
              <w:t xml:space="preserve">Miss / lower-half guide</w:t>
            </w:r>
          </w:p>
        </w:tc>
      </w:tr>
      <w:tr>
        <w:tc>
          <w:tcPr/>
          <w:p>
            <w:pPr>
              <w:pStyle w:val="Compact"/>
            </w:pPr>
            <w:r>
              <w:t xml:space="preserve">Americas non-res organic</w:t>
            </w:r>
          </w:p>
        </w:tc>
        <w:tc>
          <w:tcPr/>
          <w:p>
            <w:pPr>
              <w:pStyle w:val="Compact"/>
            </w:pPr>
            <w:r>
              <w:t xml:space="preserve">MSD+ growth</w:t>
            </w:r>
          </w:p>
        </w:tc>
        <w:tc>
          <w:tcPr/>
          <w:p>
            <w:pPr>
              <w:pStyle w:val="Compact"/>
            </w:pPr>
            <w:r>
              <w:t xml:space="preserve">Volume accelerating, spec strong</w:t>
            </w:r>
          </w:p>
        </w:tc>
        <w:tc>
          <w:tcPr/>
          <w:p>
            <w:pPr>
              <w:pStyle w:val="Compact"/>
            </w:pPr>
            <w:r>
              <w:t xml:space="preserve">Volume flattening, spec elongating</w:t>
            </w:r>
          </w:p>
        </w:tc>
      </w:tr>
      <w:tr>
        <w:tc>
          <w:tcPr/>
          <w:p>
            <w:pPr>
              <w:pStyle w:val="Compact"/>
            </w:pPr>
            <w:r>
              <w:t xml:space="preserve">International organic/margin</w:t>
            </w:r>
          </w:p>
        </w:tc>
        <w:tc>
          <w:tcPr/>
          <w:p>
            <w:pPr>
              <w:pStyle w:val="Compact"/>
            </w:pPr>
            <w:r>
              <w:t xml:space="preserve">Sequential recovery</w:t>
            </w:r>
          </w:p>
        </w:tc>
        <w:tc>
          <w:tcPr/>
          <w:p>
            <w:pPr>
              <w:pStyle w:val="Compact"/>
            </w:pPr>
            <w:r>
              <w:t xml:space="preserve">Turns positive, margin rebuilding</w:t>
            </w:r>
          </w:p>
        </w:tc>
        <w:tc>
          <w:tcPr/>
          <w:p>
            <w:pPr>
              <w:pStyle w:val="Compact"/>
            </w:pPr>
            <w:r>
              <w:t xml:space="preserve">ERP drag persists into Q2/Q3</w:t>
            </w:r>
          </w:p>
        </w:tc>
      </w:tr>
      <w:tr>
        <w:tc>
          <w:tcPr/>
          <w:p>
            <w:pPr>
              <w:pStyle w:val="Compact"/>
            </w:pPr>
            <w:r>
              <w:t xml:space="preserve">Electronics</w:t>
            </w:r>
          </w:p>
        </w:tc>
        <w:tc>
          <w:tcPr/>
          <w:p>
            <w:pPr>
              <w:pStyle w:val="Compact"/>
            </w:pPr>
            <w:r>
              <w:t xml:space="preserve">Growth re-accel</w:t>
            </w:r>
          </w:p>
        </w:tc>
        <w:tc>
          <w:tcPr/>
          <w:p>
            <w:pPr>
              <w:pStyle w:val="Compact"/>
            </w:pPr>
            <w:r>
              <w:t xml:space="preserve">Back toward double digits</w:t>
            </w:r>
          </w:p>
        </w:tc>
        <w:tc>
          <w:tcPr/>
          <w:p>
            <w:pPr>
              <w:pStyle w:val="Compact"/>
            </w:pPr>
            <w:r>
              <w:t xml:space="preserve">Further deceleration</w:t>
            </w:r>
          </w:p>
        </w:tc>
      </w:tr>
      <w:tr>
        <w:tc>
          <w:tcPr/>
          <w:p>
            <w:pPr>
              <w:pStyle w:val="Compact"/>
            </w:pPr>
            <w:r>
              <w:t xml:space="preserve">Tariff/price</w:t>
            </w:r>
          </w:p>
        </w:tc>
        <w:tc>
          <w:tcPr/>
          <w:p>
            <w:pPr>
              <w:pStyle w:val="Compact"/>
            </w:pPr>
            <w:r>
              <w:t xml:space="preserve">Pricing live</w:t>
            </w:r>
          </w:p>
        </w:tc>
        <w:tc>
          <w:tcPr/>
          <w:p>
            <w:pPr>
              <w:pStyle w:val="Compact"/>
            </w:pPr>
            <w:r>
              <w:t xml:space="preserve">Incremental price added to guide</w:t>
            </w:r>
          </w:p>
        </w:tc>
        <w:tc>
          <w:tcPr/>
          <w:p>
            <w:pPr>
              <w:pStyle w:val="Compact"/>
            </w:pPr>
            <w:r>
              <w:t xml:space="preserve">Price lagging cost, margin risk</w:t>
            </w:r>
          </w:p>
        </w:tc>
      </w:tr>
      <w:tr>
        <w:tc>
          <w:tcPr/>
          <w:p>
            <w:pPr>
              <w:pStyle w:val="Compact"/>
            </w:pPr>
            <w:r>
              <w:t xml:space="preserve">FY2026 guide</w:t>
            </w:r>
          </w:p>
        </w:tc>
        <w:tc>
          <w:tcPr/>
          <w:p>
            <w:pPr>
              <w:pStyle w:val="Compact"/>
            </w:pPr>
            <m:oMath>
              <m:r>
                <m:t>8.70</m:t>
              </m:r>
              <m:r>
                <m:rPr>
                  <m:sty m:val="p"/>
                </m:rPr>
                <m:t>–</m:t>
              </m:r>
            </m:oMath>
            <w:r>
              <w:t xml:space="preserve">8.90</w:t>
            </w:r>
          </w:p>
        </w:tc>
        <w:tc>
          <w:tcPr/>
          <w:p>
            <w:pPr>
              <w:pStyle w:val="Compact"/>
            </w:pPr>
            <w:r>
              <w:t xml:space="preserve">Raise (like 2025)</w:t>
            </w:r>
          </w:p>
        </w:tc>
        <w:tc>
          <w:tcPr/>
          <w:p>
            <w:pPr>
              <w:pStyle w:val="Compact"/>
            </w:pPr>
            <w:r>
              <w:t xml:space="preserve">Reaffirm only / trim</w:t>
            </w:r>
          </w:p>
        </w:tc>
      </w:tr>
      <w:tr>
        <w:tc>
          <w:tcPr/>
          <w:p>
            <w:pPr>
              <w:pStyle w:val="Compact"/>
            </w:pPr>
            <w:r>
              <w:t xml:space="preserve">Buyback</w:t>
            </w:r>
          </w:p>
        </w:tc>
        <w:tc>
          <w:tcPr/>
          <w:p>
            <w:pPr>
              <w:pStyle w:val="Compact"/>
            </w:pPr>
            <w:r>
              <w:t xml:space="preserve">Pace vs. $40M/qtr</w:t>
            </w:r>
          </w:p>
        </w:tc>
        <w:tc>
          <w:tcPr/>
          <w:p>
            <w:pPr>
              <w:pStyle w:val="Compact"/>
            </w:pPr>
            <w:r>
              <w:t xml:space="preserve">Accelerated repurchase</w:t>
            </w:r>
          </w:p>
        </w:tc>
        <w:tc>
          <w:tcPr/>
          <w:p>
            <w:pPr>
              <w:pStyle w:val="Compact"/>
            </w:pPr>
            <w:r>
              <w:t xml:space="preserve">Unchanged</w:t>
            </w:r>
          </w:p>
        </w:tc>
      </w:tr>
    </w:tbl>
    <w:p>
      <w:r>
        <w:pict>
          <v:rect style="width:0;height:1.5pt" o:hralign="center" o:hrstd="t" o:hr="t"/>
        </w:pict>
      </w:r>
    </w:p>
    <w:bookmarkEnd w:id="17"/>
    <w:bookmarkStart w:id="18" w:name="bottom-line"/>
    <w:p>
      <w:pPr>
        <w:pStyle w:val="Heading2"/>
      </w:pPr>
      <w:r>
        <w:t xml:space="preserve">Bottom line</w:t>
      </w:r>
    </w:p>
    <w:p>
      <w:pPr>
        <w:pStyle w:val="FirstParagraph"/>
      </w:pPr>
      <w:r>
        <w:t xml:space="preserve">ALLE enters Q2 with a strong core (Americas non-res, spec activity, electronics as a secular grower) partly obscured by a temporary, self-inflicted European ERP problem and a tariff/cost overhang. Expectations are set for ~$2.22 EPS and a heavily back-half-weighted year, so</w:t>
      </w:r>
      <w:r>
        <w:t xml:space="preserve"> </w:t>
      </w:r>
      <w:r>
        <w:rPr>
          <w:b/>
          <w:bCs/>
        </w:rPr>
        <w:t xml:space="preserve">the tone on the International recovery and the tariff-pricing offset will likely matter more than the Q2 headline itself.</w:t>
      </w:r>
      <w:r>
        <w:t xml:space="preserve"> </w:t>
      </w:r>
      <w:r>
        <w:t xml:space="preserve">A clean beat plus a guidance raise (with incremental pricing formally in the outlook) against a cheap ~16x multiple could re-rate a beaten-down stock; conversely, any sign the ERP shortfall is bleeding into H2 or that pricing is lagging cost would validate the market's current skepticism.</w:t>
      </w:r>
    </w:p>
    <w:p>
      <w:r>
        <w:pict>
          <v:rect style="width:0;height:1.5pt" o:hralign="center" o:hrstd="t" o:hr="t"/>
        </w:pict>
      </w:r>
    </w:p>
    <w:p>
      <w:pPr>
        <w:pStyle w:val="FirstParagraph"/>
      </w:pPr>
      <w:r>
        <w:rPr>
          <w:i/>
          <w:iCs/>
        </w:rPr>
        <w:t xml:space="preserve">Sources: Allegion Q1 2026 and Q2 2025 earnings releases and earnings-call transcripts; Allegion 2025 Investor Day; consensus/analyst-sentiment and price data from public financial news (Yahoo Finance/others) and market price history. Consensus figures are Street estimates and may shift ahead of the print.</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2026-07-23T00:25:57Z</dcterms:created>
  <dcterms:modified xsi:type="dcterms:W3CDTF">2026-07-23T00:25:57Z</dcterms:modified>
</cp:coreProperties>
</file>

<file path=docProps/custom.xml><?xml version="1.0" encoding="utf-8"?>
<Properties xmlns="http://schemas.openxmlformats.org/officeDocument/2006/custom-properties" xmlns:vt="http://schemas.openxmlformats.org/officeDocument/2006/docPropsVTypes"/>
</file>