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lle-earnings-predictions--2026-07-23"/>
    <w:p>
      <w:pPr>
        <w:pStyle w:val="Heading1"/>
      </w:pPr>
      <w:r>
        <w:t xml:space="preserve">ALLE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(2026Q2)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~$2.20 vs. cons $2.23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(2026Q2)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~$1.12B vs. cons $1.11B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International adjusted operating income (2026Q2)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~$27.5M vs. cons $28.96M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~$8.80 midpoint vs. cons $8.73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~3.0% midpoint vs. cons 3.0%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(STABILIZE)</w:t>
            </w:r>
          </w:p>
        </w:tc>
        <w:tc>
          <w:tcPr/>
          <w:p>
            <w:pPr>
              <w:pStyle w:val="Compact"/>
            </w:pPr>
            <w:r>
              <w:t xml:space="preserve">A modest EPS miss and International operating-income shortfall should pressure the initial reaction, but unchanged FY2026 guidance limits outright estimate cuts. The midpoint would require roughly $4.80 of second-half EPS versus current consensus near $4.70, preventing a full rebound while the discounted valuation limits additional downside.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2026-07-23T00:19:50Z</dcterms:created>
  <dcterms:modified xsi:type="dcterms:W3CDTF">2026-07-23T00:19:50Z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