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llegion-q2-2026-earnings-preview"/>
    <w:p>
      <w:pPr>
        <w:pStyle w:val="Heading1"/>
      </w:pPr>
      <w:r>
        <w:t xml:space="preserve">Allegion Q2 2026 Earnings Preview</w:t>
      </w:r>
    </w:p>
    <w:p>
      <w:pPr>
        <w:pStyle w:val="BlockText"/>
      </w:pPr>
      <w:r>
        <w:rPr>
          <w:b/>
          <w:bCs/>
        </w:rPr>
        <w:t xml:space="preserve">Timing note:</w:t>
      </w:r>
      <w:r>
        <w:t xml:space="preserve"> </w:t>
      </w:r>
      <w:r>
        <w:t xml:space="preserve">Allegion is scheduled to report</w:t>
      </w:r>
      <w:r>
        <w:t xml:space="preserve"> </w:t>
      </w:r>
      <w:r>
        <w:rPr>
          <w:b/>
          <w:bCs/>
        </w:rPr>
        <w:t xml:space="preserve">today, Thursday, July 23, 2026</w:t>
      </w:r>
      <w:r>
        <w:t xml:space="preserve">, before the market opens—not tomorrow. The earnings call begins at</w:t>
      </w:r>
      <w:r>
        <w:t xml:space="preserve"> </w:t>
      </w:r>
      <w:r>
        <w:rPr>
          <w:b/>
          <w:bCs/>
        </w:rPr>
        <w:t xml:space="preserve">8:00 a.m. ET</w:t>
      </w:r>
      <w:r>
        <w:t xml:space="preserve">. (</w:t>
      </w:r>
      <w:hyperlink r:id="rId9">
        <w:r>
          <w:rPr>
            <w:rStyle w:val="Hyperlink"/>
          </w:rPr>
          <w:t xml:space="preserve">investor.allegion.com</w:t>
        </w:r>
      </w:hyperlink>
      <w:r>
        <w:t xml:space="preserve">)</w:t>
      </w:r>
    </w:p>
    <w:bookmarkStart w:id="12" w:name="the-setup"/>
    <w:p>
      <w:pPr>
        <w:pStyle w:val="Heading2"/>
      </w:pPr>
      <w:r>
        <w:t xml:space="preserve">The setup</w:t>
      </w:r>
    </w:p>
    <w:p>
      <w:pPr>
        <w:pStyle w:val="FirstParagraph"/>
      </w:pPr>
      <w:r>
        <w:t xml:space="preserve">Allegion enters Q2 with a healthy core Americas franchise but several execution questions left over from Q1. The most important issue is not whether reported revenue grows—acquisitions, pricing and currency should make that relatively straightforward—but whether the company can stabilize margins, restore International operations and preserve confidence in its back-half earnings ramp.</w:t>
      </w:r>
    </w:p>
    <w:p>
      <w:pPr>
        <w:pStyle w:val="BodyText"/>
      </w:pPr>
      <w:r>
        <w:t xml:space="preserve">Consensus calls for approximately</w:t>
      </w:r>
      <w:r>
        <w:t xml:space="preserve"> </w:t>
      </w:r>
      <m:oMath>
        <m:r>
          <m:t>2.21</m:t>
        </m:r>
        <m:r>
          <m:t>o</m:t>
        </m:r>
        <m:r>
          <m:t>f</m:t>
        </m:r>
        <m:r>
          <m:t>a</m:t>
        </m:r>
        <m:r>
          <m:t>d</m:t>
        </m:r>
        <m:r>
          <m:t>j</m:t>
        </m:r>
        <m:r>
          <m:t>u</m:t>
        </m:r>
        <m:r>
          <m:t>s</m:t>
        </m:r>
        <m:r>
          <m:t>t</m:t>
        </m:r>
        <m:r>
          <m:t>e</m:t>
        </m:r>
        <m:r>
          <m:t>d</m:t>
        </m:r>
        <m:r>
          <m:t>E</m:t>
        </m:r>
        <m:r>
          <m:t>P</m:t>
        </m:r>
        <m:r>
          <m:t>S</m:t>
        </m:r>
        <m:r>
          <m:rPr>
            <m:sty m:val="p"/>
          </m:rPr>
          <m:t>*</m:t>
        </m:r>
        <m:r>
          <m:rPr>
            <m:sty m:val="p"/>
          </m:rPr>
          <m:t>*</m:t>
        </m:r>
        <m:r>
          <m:t>o</m:t>
        </m:r>
        <m:r>
          <m:t>n</m:t>
        </m:r>
        <m:r>
          <m:rPr>
            <m:sty m:val="p"/>
          </m:rPr>
          <m:t>*</m:t>
        </m:r>
        <m:r>
          <m:rPr>
            <m:sty m:val="p"/>
          </m:rPr>
          <m:t>*</m:t>
        </m:r>
      </m:oMath>
      <w:r>
        <w:rPr>
          <w:b/>
          <w:bCs/>
        </w:rPr>
        <w:t xml:space="preserve">1.11 billion of revenue</w:t>
      </w:r>
      <w:r>
        <w:t xml:space="preserve">, representing year-over-year growth of roughly 8% and 9%, respectively. (</w:t>
      </w:r>
      <w:hyperlink r:id="rId10">
        <w:r>
          <w:rPr>
            <w:rStyle w:val="Hyperlink"/>
          </w:rPr>
          <w:t xml:space="preserve">benzinga.com</w:t>
        </w:r>
      </w:hyperlink>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~$1.11B</w:t>
            </w:r>
          </w:p>
        </w:tc>
        <w:tc>
          <w:tcPr/>
          <w:p>
            <w:pPr>
              <w:pStyle w:val="Compact"/>
              <w:jc w:val="right"/>
            </w:pPr>
            <w:r>
              <w:t xml:space="preserve">$1.022B</w:t>
            </w:r>
          </w:p>
        </w:tc>
        <w:tc>
          <w:tcPr/>
          <w:p>
            <w:pPr>
              <w:pStyle w:val="Compact"/>
              <w:jc w:val="right"/>
            </w:pPr>
            <w:r>
              <w:t xml:space="preserve">~9%</w:t>
            </w:r>
          </w:p>
        </w:tc>
      </w:tr>
      <w:tr>
        <w:tc>
          <w:tcPr/>
          <w:p>
            <w:pPr>
              <w:pStyle w:val="Compact"/>
            </w:pPr>
            <w:r>
              <w:t xml:space="preserve">Adjusted EPS</w:t>
            </w:r>
          </w:p>
        </w:tc>
        <w:tc>
          <w:tcPr/>
          <w:p>
            <w:pPr>
              <w:pStyle w:val="Compact"/>
              <w:jc w:val="right"/>
            </w:pPr>
            <w:r>
              <w:t xml:space="preserve">~$2.21</w:t>
            </w:r>
          </w:p>
        </w:tc>
        <w:tc>
          <w:tcPr/>
          <w:p>
            <w:pPr>
              <w:pStyle w:val="Compact"/>
              <w:jc w:val="right"/>
            </w:pPr>
            <w:r>
              <w:t xml:space="preserve">$2.04</w:t>
            </w:r>
          </w:p>
        </w:tc>
        <w:tc>
          <w:tcPr/>
          <w:p>
            <w:pPr>
              <w:pStyle w:val="Compact"/>
              <w:jc w:val="right"/>
            </w:pPr>
            <w:r>
              <w:t xml:space="preserve">~8%</w:t>
            </w:r>
          </w:p>
        </w:tc>
      </w:tr>
      <w:tr>
        <w:tc>
          <w:tcPr/>
          <w:p>
            <w:pPr>
              <w:pStyle w:val="Compact"/>
            </w:pPr>
            <w:r>
              <w:t xml:space="preserve">Adjusted operating margin</w:t>
            </w:r>
          </w:p>
        </w:tc>
        <w:tc>
          <w:tcPr/>
          <w:p>
            <w:pPr>
              <w:pStyle w:val="Compact"/>
              <w:jc w:val="right"/>
            </w:pPr>
            <w:r>
              <w:t xml:space="preserve">No reliable consensus disclosed</w:t>
            </w:r>
          </w:p>
        </w:tc>
        <w:tc>
          <w:tcPr/>
          <w:p>
            <w:pPr>
              <w:pStyle w:val="Compact"/>
              <w:jc w:val="right"/>
            </w:pPr>
            <w:r>
              <w:t xml:space="preserve">23.7%</w:t>
            </w:r>
          </w:p>
        </w:tc>
        <w:tc>
          <w:tcPr/>
          <w:p>
            <w:pPr>
              <w:pStyle w:val="Compact"/>
              <w:jc w:val="right"/>
            </w:pPr>
            <w:r>
              <w:t xml:space="preserve">Margin bridge is key</w:t>
            </w:r>
          </w:p>
        </w:tc>
      </w:tr>
    </w:tbl>
    <w:p>
      <w:pPr>
        <w:pStyle w:val="BodyText"/>
      </w:pPr>
      <w:r>
        <w:t xml:space="preserve">Allegion's current full-year outlook calls for:</w:t>
      </w:r>
    </w:p>
    <w:p>
      <w:pPr>
        <w:pStyle w:val="Compact"/>
        <w:numPr>
          <w:ilvl w:val="0"/>
          <w:numId w:val="1001"/>
        </w:numPr>
      </w:pPr>
      <w:r>
        <w:rPr>
          <w:b/>
          <w:bCs/>
        </w:rPr>
        <w:t xml:space="preserve">Reported revenue growth:</w:t>
      </w:r>
      <w:r>
        <w:t xml:space="preserve"> </w:t>
      </w:r>
      <w:r>
        <w:t xml:space="preserve">6%–8%</w:t>
      </w:r>
    </w:p>
    <w:p>
      <w:pPr>
        <w:pStyle w:val="Compact"/>
        <w:numPr>
          <w:ilvl w:val="0"/>
          <w:numId w:val="1001"/>
        </w:numPr>
      </w:pPr>
      <w:r>
        <w:rPr>
          <w:b/>
          <w:bCs/>
        </w:rPr>
        <w:t xml:space="preserve">Organic revenue growth:</w:t>
      </w:r>
      <w:r>
        <w:t xml:space="preserve"> </w:t>
      </w:r>
      <w:r>
        <w:t xml:space="preserve">2%–4%</w:t>
      </w:r>
    </w:p>
    <w:p>
      <w:pPr>
        <w:pStyle w:val="Compact"/>
        <w:numPr>
          <w:ilvl w:val="0"/>
          <w:numId w:val="1001"/>
        </w:numPr>
      </w:pPr>
      <w:r>
        <w:rPr>
          <w:b/>
          <w:bCs/>
        </w:rPr>
        <w:t xml:space="preserve">Adjusted EPS:</w:t>
      </w:r>
      <w:r>
        <w:t xml:space="preserve"> </w:t>
      </w:r>
      <m:oMath>
        <m:r>
          <m:t>8.70</m:t>
        </m:r>
        <m:r>
          <m:rPr>
            <m:sty m:val="p"/>
          </m:rPr>
          <m:t>–</m:t>
        </m:r>
      </m:oMath>
      <w:r>
        <w:t xml:space="preserve">8.90</w:t>
      </w:r>
    </w:p>
    <w:p>
      <w:pPr>
        <w:pStyle w:val="Compact"/>
        <w:numPr>
          <w:ilvl w:val="0"/>
          <w:numId w:val="1001"/>
        </w:numPr>
      </w:pPr>
      <w:r>
        <w:rPr>
          <w:b/>
          <w:bCs/>
        </w:rPr>
        <w:t xml:space="preserve">Available-cash-flow conversion:</w:t>
      </w:r>
      <w:r>
        <w:t xml:space="preserve"> </w:t>
      </w:r>
      <w:r>
        <w:t xml:space="preserve">85%–95% of adjusted net income</w:t>
      </w:r>
    </w:p>
    <w:p>
      <w:pPr>
        <w:pStyle w:val="FirstParagraph"/>
      </w:pPr>
      <w:r>
        <w:t xml:space="preserve">The company affirmed the organic-growth and adjusted-EPS ranges after Q1 while increasing reported revenue guidance to incorporate the DCI acquisition. (</w:t>
      </w:r>
      <w:hyperlink r:id="rId11">
        <w:r>
          <w:rPr>
            <w:rStyle w:val="Hyperlink"/>
          </w:rPr>
          <w:t xml:space="preserve">investor.allegion.com</w:t>
        </w:r>
      </w:hyperlink>
      <w:r>
        <w:t xml:space="preserve">)</w:t>
      </w:r>
    </w:p>
    <w:p>
      <w:r>
        <w:pict>
          <v:rect style="width:0;height:1.5pt" o:hralign="center" o:hrstd="t" o:hr="t"/>
        </w:pict>
      </w:r>
    </w:p>
    <w:bookmarkEnd w:id="12"/>
    <w:bookmarkStart w:id="19" w:name="what-investors-should-watch"/>
    <w:p>
      <w:pPr>
        <w:pStyle w:val="Heading2"/>
      </w:pPr>
      <w:r>
        <w:t xml:space="preserve">What investors should watch</w:t>
      </w:r>
    </w:p>
    <w:bookmarkStart w:id="13" w:name="X85debbfc277d69d0af36257df07dfbc40de1e8f"/>
    <w:p>
      <w:pPr>
        <w:pStyle w:val="Heading3"/>
      </w:pPr>
      <w:r>
        <w:t xml:space="preserve">1. Americas nonresidential demand: price or real volume?</w:t>
      </w:r>
    </w:p>
    <w:p>
      <w:pPr>
        <w:pStyle w:val="FirstParagraph"/>
      </w:pPr>
      <w:r>
        <w:t xml:space="preserve">Allegion Americas remains the center of the investment case. In Q1:</w:t>
      </w:r>
    </w:p>
    <w:p>
      <w:pPr>
        <w:pStyle w:val="Compact"/>
        <w:numPr>
          <w:ilvl w:val="0"/>
          <w:numId w:val="1002"/>
        </w:numPr>
      </w:pPr>
      <w:r>
        <w:t xml:space="preserve">Americas organic revenue grew</w:t>
      </w:r>
      <w:r>
        <w:t xml:space="preserve"> </w:t>
      </w:r>
      <w:r>
        <w:rPr>
          <w:b/>
          <w:bCs/>
        </w:rPr>
        <w:t xml:space="preserve">4.5%</w:t>
      </w:r>
      <w:r>
        <w:t xml:space="preserve">.</w:t>
      </w:r>
    </w:p>
    <w:p>
      <w:pPr>
        <w:pStyle w:val="Compact"/>
        <w:numPr>
          <w:ilvl w:val="0"/>
          <w:numId w:val="1002"/>
        </w:numPr>
      </w:pPr>
      <w:r>
        <w:t xml:space="preserve">Nonresidential revenue increased at a mid-single-digit organic rate.</w:t>
      </w:r>
    </w:p>
    <w:p>
      <w:pPr>
        <w:pStyle w:val="Compact"/>
        <w:numPr>
          <w:ilvl w:val="0"/>
          <w:numId w:val="1002"/>
        </w:numPr>
      </w:pPr>
      <w:r>
        <w:t xml:space="preserve">Specification activity remained strong.</w:t>
      </w:r>
    </w:p>
    <w:p>
      <w:pPr>
        <w:pStyle w:val="Compact"/>
        <w:numPr>
          <w:ilvl w:val="0"/>
          <w:numId w:val="1002"/>
        </w:numPr>
      </w:pPr>
      <w:r>
        <w:t xml:space="preserve">Residential revenue was flat organically as pricing offset lower volume.</w:t>
      </w:r>
    </w:p>
    <w:p>
      <w:pPr>
        <w:pStyle w:val="Compact"/>
        <w:numPr>
          <w:ilvl w:val="0"/>
          <w:numId w:val="1002"/>
        </w:numPr>
      </w:pPr>
      <w:r>
        <w:t xml:space="preserve">Electronics grew at a mid-single-digit rate.</w:t>
      </w:r>
    </w:p>
    <w:p>
      <w:pPr>
        <w:pStyle w:val="FirstParagraph"/>
      </w:pPr>
      <w:r>
        <w:t xml:space="preserve">The quality of Q2 growth matters. Q1 enterprise organic growth was generated by pricing while total volume declined. Investors should therefore distinguish between:</w:t>
      </w:r>
    </w:p>
    <w:p>
      <w:pPr>
        <w:pStyle w:val="Compact"/>
        <w:numPr>
          <w:ilvl w:val="0"/>
          <w:numId w:val="1003"/>
        </w:numPr>
      </w:pPr>
      <w:r>
        <w:t xml:space="preserve">additional tariff-related pricing;</w:t>
      </w:r>
    </w:p>
    <w:p>
      <w:pPr>
        <w:pStyle w:val="Compact"/>
        <w:numPr>
          <w:ilvl w:val="0"/>
          <w:numId w:val="1003"/>
        </w:numPr>
      </w:pPr>
      <w:r>
        <w:t xml:space="preserve">an actual recovery in nonresidential volume; and</w:t>
      </w:r>
    </w:p>
    <w:p>
      <w:pPr>
        <w:pStyle w:val="Compact"/>
        <w:numPr>
          <w:ilvl w:val="0"/>
          <w:numId w:val="1003"/>
        </w:numPr>
      </w:pPr>
      <w:r>
        <w:t xml:space="preserve">acquisition revenue from DCI.</w:t>
      </w:r>
    </w:p>
    <w:p>
      <w:pPr>
        <w:pStyle w:val="FirstParagraph"/>
      </w:pPr>
      <w:r>
        <w:t xml:space="preserve">A favorable report would show continued healthy commercial and institutional demand, positive nonresidential volume and electronics once again outgrowing the mechanical portfolio.</w:t>
      </w:r>
    </w:p>
    <w:p>
      <w:pPr>
        <w:pStyle w:val="BodyText"/>
      </w:pPr>
      <w:r>
        <w:rPr>
          <w:b/>
          <w:bCs/>
        </w:rPr>
        <w:t xml:space="preserve">Key questions for management:</w:t>
      </w:r>
    </w:p>
    <w:p>
      <w:pPr>
        <w:pStyle w:val="Compact"/>
        <w:numPr>
          <w:ilvl w:val="0"/>
          <w:numId w:val="1004"/>
        </w:numPr>
      </w:pPr>
      <w:r>
        <w:t xml:space="preserve">Has strong specification activity begun converting into orders and shipments?</w:t>
      </w:r>
    </w:p>
    <w:p>
      <w:pPr>
        <w:pStyle w:val="Compact"/>
        <w:numPr>
          <w:ilvl w:val="0"/>
          <w:numId w:val="1004"/>
        </w:numPr>
      </w:pPr>
      <w:r>
        <w:t xml:space="preserve">Is nonresidential volume now positive?</w:t>
      </w:r>
    </w:p>
    <w:p>
      <w:pPr>
        <w:pStyle w:val="Compact"/>
        <w:numPr>
          <w:ilvl w:val="0"/>
          <w:numId w:val="1004"/>
        </w:numPr>
      </w:pPr>
      <w:r>
        <w:t xml:space="preserve">Are customers changing project timing because of tariffs or higher financing costs?</w:t>
      </w:r>
    </w:p>
    <w:p>
      <w:pPr>
        <w:pStyle w:val="Compact"/>
        <w:numPr>
          <w:ilvl w:val="0"/>
          <w:numId w:val="1004"/>
        </w:numPr>
      </w:pPr>
      <w:r>
        <w:t xml:space="preserve">Did electronics growth accelerate from Q1's mid-single-digit pace?</w:t>
      </w:r>
    </w:p>
    <w:bookmarkEnd w:id="13"/>
    <w:bookmarkStart w:id="14" w:name="Xcf048c64bd6021bc6f35fc612752a0c5518b30e"/>
    <w:p>
      <w:pPr>
        <w:pStyle w:val="Heading3"/>
      </w:pPr>
      <w:r>
        <w:t xml:space="preserve">2. Margin performance is likely to matter more than the revenue beat</w:t>
      </w:r>
    </w:p>
    <w:p>
      <w:pPr>
        <w:pStyle w:val="FirstParagraph"/>
      </w:pPr>
      <w:r>
        <w:t xml:space="preserve">Q1 adjusted operating margin fell</w:t>
      </w:r>
      <w:r>
        <w:t xml:space="preserve"> </w:t>
      </w:r>
      <w:r>
        <w:rPr>
          <w:b/>
          <w:bCs/>
        </w:rPr>
        <w:t xml:space="preserve">150 basis points to 21.2%</w:t>
      </w:r>
      <w:r>
        <w:t xml:space="preserve">, despite nearly 10% reported revenue growth. Americas adjusted margin declined 110 basis points to 28.1%, reflecting lower residential volume, unfavorable product mix, foreign-exchange effects and acquisition dilution.</w:t>
      </w:r>
    </w:p>
    <w:p>
      <w:pPr>
        <w:pStyle w:val="BodyText"/>
      </w:pPr>
      <w:r>
        <w:t xml:space="preserve">Management previously indicated that:</w:t>
      </w:r>
    </w:p>
    <w:p>
      <w:pPr>
        <w:pStyle w:val="Compact"/>
        <w:numPr>
          <w:ilvl w:val="0"/>
          <w:numId w:val="1005"/>
        </w:numPr>
      </w:pPr>
      <w:r>
        <w:t xml:space="preserve">Q2 Americas margin should improve relative to Q1's year-over-year performance, but was not expected to show meaningful expansion.</w:t>
      </w:r>
    </w:p>
    <w:p>
      <w:pPr>
        <w:pStyle w:val="Compact"/>
        <w:numPr>
          <w:ilvl w:val="0"/>
          <w:numId w:val="1005"/>
        </w:numPr>
      </w:pPr>
      <w:r>
        <w:t xml:space="preserve">The prior-year Mexican-peso benefit creates a difficult comparison.</w:t>
      </w:r>
    </w:p>
    <w:p>
      <w:pPr>
        <w:pStyle w:val="Compact"/>
        <w:numPr>
          <w:ilvl w:val="0"/>
          <w:numId w:val="1005"/>
        </w:numPr>
      </w:pPr>
      <w:r>
        <w:t xml:space="preserve">DCI is expected to dilute the full-year Americas margin by approximately 30 basis points.</w:t>
      </w:r>
    </w:p>
    <w:p>
      <w:pPr>
        <w:pStyle w:val="Compact"/>
        <w:numPr>
          <w:ilvl w:val="0"/>
          <w:numId w:val="1005"/>
        </w:numPr>
      </w:pPr>
      <w:r>
        <w:t xml:space="preserve">Most of the anticipated margin improvement is weighted to the second half.</w:t>
      </w:r>
    </w:p>
    <w:p>
      <w:pPr>
        <w:pStyle w:val="FirstParagraph"/>
      </w:pPr>
      <w:r>
        <w:t xml:space="preserve">That makes the Q2 margin bridge critical. Investors will want evidence that price and productivity are covering inflation in dollars, even if pricing mechanically dilutes the margin percentage.</w:t>
      </w:r>
    </w:p>
    <w:p>
      <w:pPr>
        <w:pStyle w:val="BodyText"/>
      </w:pPr>
      <w:r>
        <w:t xml:space="preserve">The best outcome would be:</w:t>
      </w:r>
    </w:p>
    <w:p>
      <w:pPr>
        <w:pStyle w:val="Compact"/>
        <w:numPr>
          <w:ilvl w:val="0"/>
          <w:numId w:val="1006"/>
        </w:numPr>
      </w:pPr>
      <w:r>
        <w:t xml:space="preserve">limited Americas margin contraction;</w:t>
      </w:r>
    </w:p>
    <w:p>
      <w:pPr>
        <w:pStyle w:val="Compact"/>
        <w:numPr>
          <w:ilvl w:val="0"/>
          <w:numId w:val="1006"/>
        </w:numPr>
      </w:pPr>
      <w:r>
        <w:t xml:space="preserve">sequential International improvement;</w:t>
      </w:r>
    </w:p>
    <w:p>
      <w:pPr>
        <w:pStyle w:val="Compact"/>
        <w:numPr>
          <w:ilvl w:val="0"/>
          <w:numId w:val="1006"/>
        </w:numPr>
      </w:pPr>
      <w:r>
        <w:t xml:space="preserve">positive price/productivity net of inflation and investment;</w:t>
      </w:r>
    </w:p>
    <w:p>
      <w:pPr>
        <w:pStyle w:val="Compact"/>
        <w:numPr>
          <w:ilvl w:val="0"/>
          <w:numId w:val="1006"/>
        </w:numPr>
      </w:pPr>
      <w:r>
        <w:t xml:space="preserve">no increase in the estimated tariff and inflation burden.</w:t>
      </w:r>
    </w:p>
    <w:p>
      <w:pPr>
        <w:pStyle w:val="FirstParagraph"/>
      </w:pPr>
      <w:r>
        <w:t xml:space="preserve">Conversely, strong reported revenue paired with another large margin decline would reinforce concerns that acquisitions and pricing are masking weaker underlying operating leverage.</w:t>
      </w:r>
    </w:p>
    <w:bookmarkEnd w:id="14"/>
    <w:bookmarkStart w:id="15" w:name="X480412a5d00a20215e3c7cf3967847a2c2427f9"/>
    <w:p>
      <w:pPr>
        <w:pStyle w:val="Heading3"/>
      </w:pPr>
      <w:r>
        <w:t xml:space="preserve">3. International ERP recovery is the largest execution test</w:t>
      </w:r>
    </w:p>
    <w:p>
      <w:pPr>
        <w:pStyle w:val="FirstParagraph"/>
      </w:pPr>
      <w:r>
        <w:t xml:space="preserve">International was the clear Q1 disappointment:</w:t>
      </w:r>
    </w:p>
    <w:p>
      <w:pPr>
        <w:pStyle w:val="Compact"/>
        <w:numPr>
          <w:ilvl w:val="0"/>
          <w:numId w:val="1007"/>
        </w:numPr>
      </w:pPr>
      <w:r>
        <w:t xml:space="preserve">Organic revenue declined</w:t>
      </w:r>
      <w:r>
        <w:t xml:space="preserve"> </w:t>
      </w:r>
      <w:r>
        <w:rPr>
          <w:b/>
          <w:bCs/>
        </w:rPr>
        <w:t xml:space="preserve">5.3%</w:t>
      </w:r>
      <w:r>
        <w:t xml:space="preserve">.</w:t>
      </w:r>
    </w:p>
    <w:p>
      <w:pPr>
        <w:pStyle w:val="Compact"/>
        <w:numPr>
          <w:ilvl w:val="0"/>
          <w:numId w:val="1007"/>
        </w:numPr>
      </w:pPr>
      <w:r>
        <w:t xml:space="preserve">Adjusted operating margin fell to</w:t>
      </w:r>
      <w:r>
        <w:t xml:space="preserve"> </w:t>
      </w:r>
      <w:r>
        <w:rPr>
          <w:b/>
          <w:bCs/>
        </w:rPr>
        <w:t xml:space="preserve">8.0%</w:t>
      </w:r>
      <w:r>
        <w:t xml:space="preserve"> </w:t>
      </w:r>
      <w:r>
        <w:t xml:space="preserve">from 10.2%.</w:t>
      </w:r>
    </w:p>
    <w:p>
      <w:pPr>
        <w:pStyle w:val="Compact"/>
        <w:numPr>
          <w:ilvl w:val="0"/>
          <w:numId w:val="1007"/>
        </w:numPr>
      </w:pPr>
      <w:r>
        <w:t xml:space="preserve">An ERP implementation disrupted production at a legacy European mechanical-security business.</w:t>
      </w:r>
    </w:p>
    <w:p>
      <w:pPr>
        <w:pStyle w:val="Compact"/>
        <w:numPr>
          <w:ilvl w:val="0"/>
          <w:numId w:val="1007"/>
        </w:numPr>
      </w:pPr>
      <w:r>
        <w:t xml:space="preserve">Management said the issue accounted for most of the segment's organic decline and margin weakness.</w:t>
      </w:r>
    </w:p>
    <w:p>
      <w:pPr>
        <w:pStyle w:val="FirstParagraph"/>
      </w:pPr>
      <w:r>
        <w:t xml:space="preserve">The company characterized this as an execution problem rather than a demand problem, pointing to retained orders and backlog. It expected production rates to improve and the Q1 shortfall to be recovered over the remainder of 2026.</w:t>
      </w:r>
    </w:p>
    <w:p>
      <w:pPr>
        <w:pStyle w:val="BodyText"/>
      </w:pPr>
      <w:r>
        <w:t xml:space="preserve">Q2 does not necessarily need to show a complete recovery. It does, however, need to demonstrate clear sequential progress. Investors should look for:</w:t>
      </w:r>
    </w:p>
    <w:p>
      <w:pPr>
        <w:pStyle w:val="Compact"/>
        <w:numPr>
          <w:ilvl w:val="0"/>
          <w:numId w:val="1008"/>
        </w:numPr>
      </w:pPr>
      <w:r>
        <w:t xml:space="preserve">higher production rates;</w:t>
      </w:r>
    </w:p>
    <w:p>
      <w:pPr>
        <w:pStyle w:val="Compact"/>
        <w:numPr>
          <w:ilvl w:val="0"/>
          <w:numId w:val="1008"/>
        </w:numPr>
      </w:pPr>
      <w:r>
        <w:t xml:space="preserve">backlog conversion rather than cancellations;</w:t>
      </w:r>
    </w:p>
    <w:p>
      <w:pPr>
        <w:pStyle w:val="Compact"/>
        <w:numPr>
          <w:ilvl w:val="0"/>
          <w:numId w:val="1008"/>
        </w:numPr>
      </w:pPr>
      <w:r>
        <w:t xml:space="preserve">sequential organic-revenue improvement;</w:t>
      </w:r>
    </w:p>
    <w:p>
      <w:pPr>
        <w:pStyle w:val="Compact"/>
        <w:numPr>
          <w:ilvl w:val="0"/>
          <w:numId w:val="1008"/>
        </w:numPr>
      </w:pPr>
      <w:r>
        <w:t xml:space="preserve">International margin recovering from Q1's 8%;</w:t>
      </w:r>
    </w:p>
    <w:p>
      <w:pPr>
        <w:pStyle w:val="Compact"/>
        <w:numPr>
          <w:ilvl w:val="0"/>
          <w:numId w:val="1008"/>
        </w:numPr>
      </w:pPr>
      <w:r>
        <w:t xml:space="preserve">no similar problems arising from other planned system implementations.</w:t>
      </w:r>
    </w:p>
    <w:p>
      <w:pPr>
        <w:pStyle w:val="FirstParagraph"/>
      </w:pPr>
      <w:r>
        <w:t xml:space="preserve">A delayed recovery would put more pressure on Q3 and Q4 and could undermine the full-year EPS outlook.</w:t>
      </w:r>
    </w:p>
    <w:bookmarkEnd w:id="15"/>
    <w:bookmarkStart w:id="16" w:name="X12fad047fa94d05d6e20944bc3143164a2adadb"/>
    <w:p>
      <w:pPr>
        <w:pStyle w:val="Heading3"/>
      </w:pPr>
      <w:r>
        <w:t xml:space="preserve">4. The full-year guide implies a meaningful second-half acceleration</w:t>
      </w:r>
    </w:p>
    <w:p>
      <w:pPr>
        <w:pStyle w:val="FirstParagraph"/>
      </w:pPr>
      <w:r>
        <w:t xml:space="preserve">If Allegion reports the consensus</w:t>
      </w:r>
      <w:r>
        <w:t xml:space="preserve"> </w:t>
      </w:r>
      <m:oMath>
        <m:r>
          <m:t>2.21</m:t>
        </m:r>
        <m:r>
          <m:rPr>
            <m:sty m:val="p"/>
          </m:rPr>
          <m:t>*</m:t>
        </m:r>
        <m:r>
          <m:rPr>
            <m:sty m:val="p"/>
          </m:rPr>
          <m:t>*</m:t>
        </m:r>
        <m:r>
          <m:t>i</m:t>
        </m:r>
        <m:r>
          <m:t>n</m:t>
        </m:r>
        <m:r>
          <m:t>Q</m:t>
        </m:r>
        <m:r>
          <m:t>2</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b</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4.01</w:t>
      </w:r>
      <w:r>
        <w:t xml:space="preserve">. The midpoint of the</w:t>
      </w:r>
      <w:r>
        <w:t xml:space="preserve"> </w:t>
      </w:r>
      <m:oMath>
        <m:r>
          <m:t>8.70</m:t>
        </m:r>
        <m:r>
          <m:rPr>
            <m:sty m:val="p"/>
          </m:rPr>
          <m:t>–</m:t>
        </m:r>
      </m:oMath>
      <w:r>
        <w:t xml:space="preserve">8.90 full-year range would then require about</w:t>
      </w:r>
      <w:r>
        <w:t xml:space="preserve"> </w:t>
      </w:r>
      <w:r>
        <w:rPr>
          <w:b/>
          <w:bCs/>
        </w:rPr>
        <w:t xml:space="preserve">$4.79</w:t>
      </w:r>
      <w:r>
        <w:t xml:space="preserve"> </w:t>
      </w:r>
      <w:r>
        <w:t xml:space="preserve">in second-half EPS.</w:t>
      </w:r>
    </w:p>
    <w:p>
      <w:pPr>
        <w:pStyle w:val="BodyText"/>
      </w:pPr>
      <w:r>
        <w:t xml:space="preserve">That would represent roughly</w:t>
      </w:r>
      <w:r>
        <w:t xml:space="preserve"> </w:t>
      </w:r>
      <w:r>
        <w:rPr>
          <w:b/>
          <w:bCs/>
        </w:rPr>
        <w:t xml:space="preserve">13% growth</w:t>
      </w:r>
      <w:r>
        <w:t xml:space="preserve"> </w:t>
      </w:r>
      <w:r>
        <w:t xml:space="preserve">over the $4.24 Allegion earned in the second half of 2025.</w:t>
      </w:r>
    </w:p>
    <w:p>
      <w:pPr>
        <w:pStyle w:val="BodyText"/>
      </w:pPr>
      <w:r>
        <w:t xml:space="preserve">The required acceleration is plausible, given easier margin comparisons, expected ERP recovery and positive nonresidential volume. But it leaves less room for:</w:t>
      </w:r>
    </w:p>
    <w:p>
      <w:pPr>
        <w:pStyle w:val="Compact"/>
        <w:numPr>
          <w:ilvl w:val="0"/>
          <w:numId w:val="1009"/>
        </w:numPr>
      </w:pPr>
      <w:r>
        <w:t xml:space="preserve">International recovery taking longer than expected;</w:t>
      </w:r>
    </w:p>
    <w:p>
      <w:pPr>
        <w:pStyle w:val="Compact"/>
        <w:numPr>
          <w:ilvl w:val="0"/>
          <w:numId w:val="1009"/>
        </w:numPr>
      </w:pPr>
      <w:r>
        <w:t xml:space="preserve">further tariff or material-cost inflation;</w:t>
      </w:r>
    </w:p>
    <w:p>
      <w:pPr>
        <w:pStyle w:val="Compact"/>
        <w:numPr>
          <w:ilvl w:val="0"/>
          <w:numId w:val="1009"/>
        </w:numPr>
      </w:pPr>
      <w:r>
        <w:t xml:space="preserve">residential demand weakening;</w:t>
      </w:r>
    </w:p>
    <w:p>
      <w:pPr>
        <w:pStyle w:val="Compact"/>
        <w:numPr>
          <w:ilvl w:val="0"/>
          <w:numId w:val="1009"/>
        </w:numPr>
      </w:pPr>
      <w:r>
        <w:t xml:space="preserve">acquisition margins remaining below plan;</w:t>
      </w:r>
    </w:p>
    <w:p>
      <w:pPr>
        <w:pStyle w:val="Compact"/>
        <w:numPr>
          <w:ilvl w:val="0"/>
          <w:numId w:val="1009"/>
        </w:numPr>
      </w:pPr>
      <w:r>
        <w:t xml:space="preserve">unfavorable product mix.</w:t>
      </w:r>
    </w:p>
    <w:p>
      <w:pPr>
        <w:pStyle w:val="FirstParagraph"/>
      </w:pPr>
      <w:r>
        <w:t xml:space="preserve">As a result, a simple guidance reiteration may not be enough to drive a favorable reaction. Investors will want management to explain why the back-half margin and earnings ramp remains achievable.</w:t>
      </w:r>
    </w:p>
    <w:bookmarkEnd w:id="16"/>
    <w:bookmarkStart w:id="17" w:name="Xa016a8bd16a9fbabb269c5f6a535e230f97f0bd"/>
    <w:p>
      <w:pPr>
        <w:pStyle w:val="Heading3"/>
      </w:pPr>
      <w:r>
        <w:t xml:space="preserve">5. Tariffs and pricing remain a two-sided issue</w:t>
      </w:r>
    </w:p>
    <w:p>
      <w:pPr>
        <w:pStyle w:val="FirstParagraph"/>
      </w:pPr>
      <w:r>
        <w:t xml:space="preserve">After Q1, Allegion estimated an incremental inflationary headwind equal to approximately</w:t>
      </w:r>
      <w:r>
        <w:t xml:space="preserve"> </w:t>
      </w:r>
      <w:r>
        <w:rPr>
          <w:b/>
          <w:bCs/>
        </w:rPr>
        <w:t xml:space="preserve">1% of cost of goods sold</w:t>
      </w:r>
      <w:r>
        <w:t xml:space="preserve">, reflecting tariffs and other input costs. The company expected to offset that pressure through pricing and cost actions, leaving adjusted operating-income dollars and EPS neutral.</w:t>
      </w:r>
    </w:p>
    <w:p>
      <w:pPr>
        <w:pStyle w:val="BodyText"/>
      </w:pPr>
      <w:r>
        <w:t xml:space="preserve">The primary risk is timing: inflation may reach the income statement before all pricing actions take effect. Questions include:</w:t>
      </w:r>
    </w:p>
    <w:p>
      <w:pPr>
        <w:pStyle w:val="Compact"/>
        <w:numPr>
          <w:ilvl w:val="0"/>
          <w:numId w:val="1010"/>
        </w:numPr>
      </w:pPr>
      <w:r>
        <w:t xml:space="preserve">Have the new list prices or surcharges been implemented?</w:t>
      </w:r>
    </w:p>
    <w:p>
      <w:pPr>
        <w:pStyle w:val="Compact"/>
        <w:numPr>
          <w:ilvl w:val="0"/>
          <w:numId w:val="1010"/>
        </w:numPr>
      </w:pPr>
      <w:r>
        <w:t xml:space="preserve">How much incremental price will appear in Q2 versus Q3?</w:t>
      </w:r>
    </w:p>
    <w:p>
      <w:pPr>
        <w:pStyle w:val="Compact"/>
        <w:numPr>
          <w:ilvl w:val="0"/>
          <w:numId w:val="1010"/>
        </w:numPr>
      </w:pPr>
      <w:r>
        <w:t xml:space="preserve">Has competitive behavior limited price realization?</w:t>
      </w:r>
    </w:p>
    <w:p>
      <w:pPr>
        <w:pStyle w:val="Compact"/>
        <w:numPr>
          <w:ilvl w:val="0"/>
          <w:numId w:val="1010"/>
        </w:numPr>
      </w:pPr>
      <w:r>
        <w:t xml:space="preserve">Has higher pricing affected order volumes?</w:t>
      </w:r>
    </w:p>
    <w:p>
      <w:pPr>
        <w:pStyle w:val="Compact"/>
        <w:numPr>
          <w:ilvl w:val="0"/>
          <w:numId w:val="1010"/>
        </w:numPr>
      </w:pPr>
      <w:r>
        <w:t xml:space="preserve">Have fuel and freight costs added to the original estimate?</w:t>
      </w:r>
    </w:p>
    <w:p>
      <w:pPr>
        <w:pStyle w:val="FirstParagraph"/>
      </w:pPr>
      <w:r>
        <w:t xml:space="preserve">Neutralization in profit dollars would be acceptable. Margin-rate expansion is a higher hurdle because price-driven revenue increases can dilute the percentage margin even when they preserve earnings.</w:t>
      </w:r>
    </w:p>
    <w:bookmarkEnd w:id="17"/>
    <w:bookmarkStart w:id="18" w:name="Xb8c5c8df608498e684e4788f430298c6f1e89c1"/>
    <w:p>
      <w:pPr>
        <w:pStyle w:val="Heading3"/>
      </w:pPr>
      <w:r>
        <w:t xml:space="preserve">6. DCI should be judged strategically, not on near-term EPS</w:t>
      </w:r>
    </w:p>
    <w:p>
      <w:pPr>
        <w:pStyle w:val="FirstParagraph"/>
      </w:pPr>
      <w:r>
        <w:t xml:space="preserve">DCI expands Allegion's hollow-metal doors and frames presence on the West Coast, reducing freight costs and shortening lead times. Management described DCI as a low-double-digit EBITDA-margin business with limited 2026 EPS accretion.</w:t>
      </w:r>
    </w:p>
    <w:p>
      <w:pPr>
        <w:pStyle w:val="BodyText"/>
      </w:pPr>
      <w:r>
        <w:t xml:space="preserve">The near-term financial impact is therefore mixed:</w:t>
      </w:r>
    </w:p>
    <w:p>
      <w:pPr>
        <w:pStyle w:val="Compact"/>
        <w:numPr>
          <w:ilvl w:val="0"/>
          <w:numId w:val="1011"/>
        </w:numPr>
      </w:pPr>
      <w:r>
        <w:t xml:space="preserve">positive reported revenue contribution;</w:t>
      </w:r>
    </w:p>
    <w:p>
      <w:pPr>
        <w:pStyle w:val="Compact"/>
        <w:numPr>
          <w:ilvl w:val="0"/>
          <w:numId w:val="1011"/>
        </w:numPr>
      </w:pPr>
      <w:r>
        <w:t xml:space="preserve">strategic cross-selling potential for complete door-and-hardware packages;</w:t>
      </w:r>
    </w:p>
    <w:p>
      <w:pPr>
        <w:pStyle w:val="Compact"/>
        <w:numPr>
          <w:ilvl w:val="0"/>
          <w:numId w:val="1011"/>
        </w:numPr>
      </w:pPr>
      <w:r>
        <w:t xml:space="preserve">near-term margin dilution;</w:t>
      </w:r>
    </w:p>
    <w:p>
      <w:pPr>
        <w:pStyle w:val="Compact"/>
        <w:numPr>
          <w:ilvl w:val="0"/>
          <w:numId w:val="1011"/>
        </w:numPr>
      </w:pPr>
      <w:r>
        <w:t xml:space="preserve">limited immediate EPS benefit.</w:t>
      </w:r>
    </w:p>
    <w:p>
      <w:pPr>
        <w:pStyle w:val="FirstParagraph"/>
      </w:pPr>
      <w:r>
        <w:t xml:space="preserve">Investors should focus on whether DCI is growing faster under Allegion, whether margins are improving and whether it is helping the broader nonresidential portfolio win projects.</w:t>
      </w:r>
    </w:p>
    <w:p>
      <w:r>
        <w:pict>
          <v:rect style="width:0;height:1.5pt" o:hralign="center" o:hrstd="t" o:hr="t"/>
        </w:pict>
      </w:r>
    </w:p>
    <w:bookmarkEnd w:id="18"/>
    <w:bookmarkEnd w:id="19"/>
    <w:bookmarkStart w:id="20" w:name="stock-setup-and-expectations"/>
    <w:p>
      <w:pPr>
        <w:pStyle w:val="Heading2"/>
      </w:pPr>
      <w:r>
        <w:t xml:space="preserve">Stock setup and expectations</w:t>
      </w:r>
    </w:p>
    <w:p>
      <w:pPr>
        <w:pStyle w:val="FirstParagraph"/>
      </w:pPr>
      <w:r>
        <w:t xml:space="preserve">ALLE closed around</w:t>
      </w:r>
      <w:r>
        <w:t xml:space="preserve"> </w:t>
      </w:r>
      <w:r>
        <w:rPr>
          <w:b/>
          <w:bCs/>
        </w:rPr>
        <w:t xml:space="preserve">$140 on July 22</w:t>
      </w:r>
      <w:r>
        <w:t xml:space="preserve">. The shares are down approximately 12% from year-end 2025, while the S&amp;P 500 proxy SPY is up roughly 10%.</w:t>
      </w:r>
    </w:p>
    <w:p>
      <w:pPr>
        <w:pStyle w:val="BodyText"/>
      </w:pPr>
      <w:r>
        <w:t xml:space="preserve">At that price, ALLE trades at about</w:t>
      </w:r>
      <w:r>
        <w:t xml:space="preserve"> </w:t>
      </w:r>
      <w:r>
        <w:rPr>
          <w:b/>
          <w:bCs/>
        </w:rPr>
        <w:t xml:space="preserve">15.9 times</w:t>
      </w:r>
      <w:r>
        <w:t xml:space="preserve"> </w:t>
      </w:r>
      <w:r>
        <w:t xml:space="preserve">the midpoint of management's 2026 adjusted-EPS guidance. That is not a demanding multiple if Allegion can deliver the guide, restore margin momentum and maintain mid-single-digit nonresidential growth.</w:t>
      </w:r>
    </w:p>
    <w:p>
      <w:pPr>
        <w:pStyle w:val="BodyText"/>
      </w:pPr>
      <w:r>
        <w:t xml:space="preserve">However, the discount partly reflects two consecutive consensus EPS misses and concern that 2026 earnings have become increasingly back-half weighted. (</w:t>
      </w:r>
      <w:hyperlink r:id="rId10">
        <w:r>
          <w:rPr>
            <w:rStyle w:val="Hyperlink"/>
          </w:rPr>
          <w:t xml:space="preserve">benzinga.com</w:t>
        </w:r>
      </w:hyperlink>
      <w:r>
        <w:t xml:space="preserve">)</w:t>
      </w:r>
    </w:p>
    <w:p>
      <w:r>
        <w:pict>
          <v:rect style="width:0;height:1.5pt" o:hralign="center" o:hrstd="t" o:hr="t"/>
        </w:pict>
      </w:r>
    </w:p>
    <w:bookmarkEnd w:id="20"/>
    <w:bookmarkStart w:id="24" w:name="potential-reaction-framework"/>
    <w:p>
      <w:pPr>
        <w:pStyle w:val="Heading2"/>
      </w:pPr>
      <w:r>
        <w:t xml:space="preserve">Potential reaction framework</w:t>
      </w:r>
    </w:p>
    <w:bookmarkStart w:id="21" w:name="bull-case"/>
    <w:p>
      <w:pPr>
        <w:pStyle w:val="Heading3"/>
      </w:pPr>
      <w:r>
        <w:t xml:space="preserve">Bull case</w:t>
      </w:r>
    </w:p>
    <w:p>
      <w:pPr>
        <w:pStyle w:val="Compact"/>
        <w:numPr>
          <w:ilvl w:val="0"/>
          <w:numId w:val="1012"/>
        </w:numPr>
      </w:pPr>
      <w:r>
        <w:t xml:space="preserve">Revenue and EPS exceed consensus.</w:t>
      </w:r>
    </w:p>
    <w:p>
      <w:pPr>
        <w:pStyle w:val="Compact"/>
        <w:numPr>
          <w:ilvl w:val="0"/>
          <w:numId w:val="1012"/>
        </w:numPr>
      </w:pPr>
      <w:r>
        <w:t xml:space="preserve">Americas nonresidential volume turns positive.</w:t>
      </w:r>
    </w:p>
    <w:p>
      <w:pPr>
        <w:pStyle w:val="Compact"/>
        <w:numPr>
          <w:ilvl w:val="0"/>
          <w:numId w:val="1012"/>
        </w:numPr>
      </w:pPr>
      <w:r>
        <w:t xml:space="preserve">Electronics growth reaccelerates.</w:t>
      </w:r>
    </w:p>
    <w:p>
      <w:pPr>
        <w:pStyle w:val="Compact"/>
        <w:numPr>
          <w:ilvl w:val="0"/>
          <w:numId w:val="1012"/>
        </w:numPr>
      </w:pPr>
      <w:r>
        <w:t xml:space="preserve">Americas margin is near the prior-year level despite DCI dilution.</w:t>
      </w:r>
    </w:p>
    <w:p>
      <w:pPr>
        <w:pStyle w:val="Compact"/>
        <w:numPr>
          <w:ilvl w:val="0"/>
          <w:numId w:val="1012"/>
        </w:numPr>
      </w:pPr>
      <w:r>
        <w:t xml:space="preserve">International shows decisive sequential recovery.</w:t>
      </w:r>
    </w:p>
    <w:p>
      <w:pPr>
        <w:pStyle w:val="Compact"/>
        <w:numPr>
          <w:ilvl w:val="0"/>
          <w:numId w:val="1012"/>
        </w:numPr>
      </w:pPr>
      <w:r>
        <w:t xml:space="preserve">Management raises or narrows the EPS outlook toward the high end.</w:t>
      </w:r>
    </w:p>
    <w:p>
      <w:pPr>
        <w:pStyle w:val="Compact"/>
        <w:numPr>
          <w:ilvl w:val="0"/>
          <w:numId w:val="1012"/>
        </w:numPr>
      </w:pPr>
      <w:r>
        <w:t xml:space="preserve">Tariff inflation remains fully covered by price and productivity.</w:t>
      </w:r>
    </w:p>
    <w:p>
      <w:pPr>
        <w:pStyle w:val="FirstParagraph"/>
      </w:pPr>
      <w:r>
        <w:t xml:space="preserve">This would support the view that Q1 was a temporary execution setback and could drive valuation re-expansion.</w:t>
      </w:r>
    </w:p>
    <w:bookmarkEnd w:id="21"/>
    <w:bookmarkStart w:id="22" w:name="base-case"/>
    <w:p>
      <w:pPr>
        <w:pStyle w:val="Heading3"/>
      </w:pPr>
      <w:r>
        <w:t xml:space="preserve">Base case</w:t>
      </w:r>
    </w:p>
    <w:p>
      <w:pPr>
        <w:pStyle w:val="Compact"/>
        <w:numPr>
          <w:ilvl w:val="0"/>
          <w:numId w:val="1013"/>
        </w:numPr>
      </w:pPr>
      <w:r>
        <w:t xml:space="preserve">Revenue is close to or modestly above $1.11 billion.</w:t>
      </w:r>
    </w:p>
    <w:p>
      <w:pPr>
        <w:pStyle w:val="Compact"/>
        <w:numPr>
          <w:ilvl w:val="0"/>
          <w:numId w:val="1013"/>
        </w:numPr>
      </w:pPr>
      <w:r>
        <w:t xml:space="preserve">Adjusted EPS lands near $2.21.</w:t>
      </w:r>
    </w:p>
    <w:p>
      <w:pPr>
        <w:pStyle w:val="Compact"/>
        <w:numPr>
          <w:ilvl w:val="0"/>
          <w:numId w:val="1013"/>
        </w:numPr>
      </w:pPr>
      <w:r>
        <w:t xml:space="preserve">Americas remains healthy but primarily price-led.</w:t>
      </w:r>
    </w:p>
    <w:p>
      <w:pPr>
        <w:pStyle w:val="Compact"/>
        <w:numPr>
          <w:ilvl w:val="0"/>
          <w:numId w:val="1013"/>
        </w:numPr>
      </w:pPr>
      <w:r>
        <w:t xml:space="preserve">International improves sequentially but remains weak year over year.</w:t>
      </w:r>
    </w:p>
    <w:p>
      <w:pPr>
        <w:pStyle w:val="Compact"/>
        <w:numPr>
          <w:ilvl w:val="0"/>
          <w:numId w:val="1013"/>
        </w:numPr>
      </w:pPr>
      <w:r>
        <w:t xml:space="preserve">Full-year guidance is reiterated.</w:t>
      </w:r>
    </w:p>
    <w:p>
      <w:pPr>
        <w:pStyle w:val="Compact"/>
        <w:numPr>
          <w:ilvl w:val="0"/>
          <w:numId w:val="1013"/>
        </w:numPr>
      </w:pPr>
      <w:r>
        <w:t xml:space="preserve">Management continues to emphasize a second-half margin ramp.</w:t>
      </w:r>
    </w:p>
    <w:p>
      <w:pPr>
        <w:pStyle w:val="FirstParagraph"/>
      </w:pPr>
      <w:r>
        <w:t xml:space="preserve">The reaction would likely depend on the credibility and specificity of management's Q3/Q4 commentary.</w:t>
      </w:r>
    </w:p>
    <w:bookmarkEnd w:id="22"/>
    <w:bookmarkStart w:id="23" w:name="bear-case"/>
    <w:p>
      <w:pPr>
        <w:pStyle w:val="Heading3"/>
      </w:pPr>
      <w:r>
        <w:t xml:space="preserve">Bear case</w:t>
      </w:r>
    </w:p>
    <w:p>
      <w:pPr>
        <w:pStyle w:val="Compact"/>
        <w:numPr>
          <w:ilvl w:val="0"/>
          <w:numId w:val="1014"/>
        </w:numPr>
      </w:pPr>
      <w:r>
        <w:t xml:space="preserve">EPS misses despite reported revenue growth.</w:t>
      </w:r>
    </w:p>
    <w:p>
      <w:pPr>
        <w:pStyle w:val="Compact"/>
        <w:numPr>
          <w:ilvl w:val="0"/>
          <w:numId w:val="1014"/>
        </w:numPr>
      </w:pPr>
      <w:r>
        <w:t xml:space="preserve">Organic growth falls below the full-year 2%–4% framework.</w:t>
      </w:r>
    </w:p>
    <w:p>
      <w:pPr>
        <w:pStyle w:val="Compact"/>
        <w:numPr>
          <w:ilvl w:val="0"/>
          <w:numId w:val="1014"/>
        </w:numPr>
      </w:pPr>
      <w:r>
        <w:t xml:space="preserve">Americas margins contract materially.</w:t>
      </w:r>
    </w:p>
    <w:p>
      <w:pPr>
        <w:pStyle w:val="Compact"/>
        <w:numPr>
          <w:ilvl w:val="0"/>
          <w:numId w:val="1014"/>
        </w:numPr>
      </w:pPr>
      <w:r>
        <w:t xml:space="preserve">International ERP recovery is delayed or backlog begins to erode.</w:t>
      </w:r>
    </w:p>
    <w:p>
      <w:pPr>
        <w:pStyle w:val="Compact"/>
        <w:numPr>
          <w:ilvl w:val="0"/>
          <w:numId w:val="1014"/>
        </w:numPr>
      </w:pPr>
      <w:r>
        <w:t xml:space="preserve">Tariff and input-cost estimates increase.</w:t>
      </w:r>
    </w:p>
    <w:p>
      <w:pPr>
        <w:pStyle w:val="Compact"/>
        <w:numPr>
          <w:ilvl w:val="0"/>
          <w:numId w:val="1014"/>
        </w:numPr>
      </w:pPr>
      <w:r>
        <w:t xml:space="preserve">Full-year guidance is reduced, or management cannot confidently defend the required second-half ramp.</w:t>
      </w:r>
    </w:p>
    <w:p>
      <w:pPr>
        <w:pStyle w:val="FirstParagraph"/>
      </w:pPr>
      <w:r>
        <w:t xml:space="preserve">That outcome would raise questions about execution, acquisition quality and the sustainability of Allegion's premium margin structure.</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This is primarily an</w:t>
      </w:r>
      <w:r>
        <w:t xml:space="preserve"> </w:t>
      </w:r>
      <w:r>
        <w:rPr>
          <w:b/>
          <w:bCs/>
        </w:rPr>
        <w:t xml:space="preserve">execution and margin quarter</w:t>
      </w:r>
      <w:r>
        <w:t xml:space="preserve">, not a top-line quarter.</w:t>
      </w:r>
    </w:p>
    <w:p>
      <w:pPr>
        <w:pStyle w:val="BodyText"/>
      </w:pPr>
      <w:r>
        <w:t xml:space="preserve">The Americas nonresidential franchise appears fundamentally healthy, and acquisitions and pricing should support strong reported revenue. The debate is whether Allegion can convert that growth into earnings while repairing International operations and managing tariff inflation.</w:t>
      </w:r>
    </w:p>
    <w:p>
      <w:pPr>
        <w:pStyle w:val="BodyText"/>
      </w:pPr>
      <w:r>
        <w:t xml:space="preserve">The three most important indicators are:</w:t>
      </w:r>
    </w:p>
    <w:p>
      <w:pPr>
        <w:pStyle w:val="Compact"/>
        <w:numPr>
          <w:ilvl w:val="0"/>
          <w:numId w:val="1015"/>
        </w:numPr>
      </w:pPr>
      <w:r>
        <w:rPr>
          <w:b/>
          <w:bCs/>
        </w:rPr>
        <w:t xml:space="preserve">Americas organic volume and adjusted margin</w:t>
      </w:r>
    </w:p>
    <w:p>
      <w:pPr>
        <w:pStyle w:val="Compact"/>
        <w:numPr>
          <w:ilvl w:val="0"/>
          <w:numId w:val="1015"/>
        </w:numPr>
      </w:pPr>
      <w:r>
        <w:rPr>
          <w:b/>
          <w:bCs/>
        </w:rPr>
        <w:t xml:space="preserve">Sequential recovery in International</w:t>
      </w:r>
    </w:p>
    <w:p>
      <w:pPr>
        <w:pStyle w:val="Compact"/>
        <w:numPr>
          <w:ilvl w:val="0"/>
          <w:numId w:val="1015"/>
        </w:numPr>
      </w:pPr>
      <w:r>
        <w:rPr>
          <w:b/>
          <w:bCs/>
        </w:rPr>
        <w:t xml:space="preserve">Management's confidence in the back-half EPS ramp</w:t>
      </w:r>
    </w:p>
    <w:p>
      <w:pPr>
        <w:pStyle w:val="FirstParagraph"/>
      </w:pPr>
      <w:r>
        <w:t xml:space="preserve">A consensus-level quarter accompanied by credible International recovery and stable guidance would likely be acceptable given the stock's underperformance. A clean beat with improving organic volume and margins could materially improve sentiment. Another margin or execution miss would make the</w:t>
      </w:r>
      <w:r>
        <w:t xml:space="preserve"> </w:t>
      </w:r>
      <m:oMath>
        <m:r>
          <m:t>8.70</m:t>
        </m:r>
        <m:r>
          <m:rPr>
            <m:sty m:val="p"/>
          </m:rPr>
          <m:t>–</m:t>
        </m:r>
      </m:oMath>
      <w:r>
        <w:t xml:space="preserve">8.90 full-year EPS range increasingly difficult to defend.</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allegion.com/news-and-events/news-releases/2026/04-28-2026-110047704?utm_source=openai" TargetMode="External" /><Relationship Type="http://schemas.openxmlformats.org/officeDocument/2006/relationships/hyperlink" Id="rId9" Target="https://investor.allegion.com/~/media/Files/A/Allegion-IR/press-release/q2-2026-earnings-advisory-final.pdf" TargetMode="External" /><Relationship Type="http://schemas.openxmlformats.org/officeDocument/2006/relationships/hyperlink" Id="rId10" Target="https://www.benzinga.com/quote/ALLE/earnings"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allegion.com/news-and-events/news-releases/2026/04-28-2026-110047704?utm_source=openai" TargetMode="External" /><Relationship Type="http://schemas.openxmlformats.org/officeDocument/2006/relationships/hyperlink" Id="rId9" Target="https://investor.allegion.com/~/media/Files/A/Allegion-IR/press-release/q2-2026-earnings-advisory-final.pdf" TargetMode="External" /><Relationship Type="http://schemas.openxmlformats.org/officeDocument/2006/relationships/hyperlink" Id="rId10" Target="https://www.benzinga.com/quote/ALLE/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2026-07-23T00:19:50Z</dcterms:created>
  <dcterms:modified xsi:type="dcterms:W3CDTF">2026-07-23T00:19:50Z</dcterms:modified>
</cp:coreProperties>
</file>

<file path=docProps/custom.xml><?xml version="1.0" encoding="utf-8"?>
<Properties xmlns="http://schemas.openxmlformats.org/officeDocument/2006/custom-properties" xmlns:vt="http://schemas.openxmlformats.org/officeDocument/2006/docPropsVTypes"/>
</file>