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le-earnings-predictions--2026-07-23"/>
    <w:p>
      <w:pPr>
        <w:pStyle w:val="Heading1"/>
      </w:pPr>
      <w:r>
        <w:t xml:space="preserve">ALLE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~$2.17 vs. cons $2.21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~$1.10B vs. cons $1.11B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~22.3% vs. cons 22.6%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~$8.80 midpoint vs. cons $8.73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~3.0% midpoint vs. cons 3.0%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(STABILIZE)</w:t>
            </w:r>
          </w:p>
        </w:tc>
        <w:tc>
          <w:tcPr/>
          <w:p>
            <w:pPr>
              <w:pStyle w:val="Compact"/>
            </w:pPr>
            <w:r>
              <w:t xml:space="preserve">A modest Q2 EPS/margin miss is offset by maintained FY2026 EPS guidance: ~$8.80 midpoint vs. $8.73 consensus implies 2H EPS of roughly</w:t>
            </w:r>
            <w:r>
              <w:t xml:space="preserve"> </w:t>
            </w:r>
            <m:oMath>
              <m:r>
                <m:t>4.83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4.72 embedded pre-print. That preserves out-period estimates if management validates International ERP recovery and tariff mitigation.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2026-07-23T00:18:34Z</dcterms:created>
  <dcterms:modified xsi:type="dcterms:W3CDTF">2026-07-23T00:18:34Z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