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4b8a1694271487464f37fc4c1aea0fa5d5cece"/>
    <w:p>
      <w:pPr>
        <w:pStyle w:val="Heading1"/>
      </w:pPr>
      <w:r>
        <w:t xml:space="preserve">Allegion (NYSE: ALLE) — Q2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Allegion is scheduled to report</w:t>
      </w:r>
      <w:r>
        <w:t xml:space="preserve"> </w:t>
      </w:r>
      <w:r>
        <w:rPr>
          <w:b/>
          <w:bCs/>
        </w:rPr>
        <w:t xml:space="preserve">today, Thursday, July 23, 2026</w:t>
      </w:r>
      <w:r>
        <w:t xml:space="preserve">, before the market opens, with its earnings call at</w:t>
      </w:r>
      <w:r>
        <w:t xml:space="preserve"> </w:t>
      </w:r>
      <w:r>
        <w:rPr>
          <w:b/>
          <w:bCs/>
        </w:rPr>
        <w:t xml:space="preserve">8:00 a.m. ET</w:t>
      </w:r>
      <w:r>
        <w:t xml:space="preserve">—not tomorrow. (</w:t>
      </w:r>
      <w:hyperlink r:id="rId9">
        <w:r>
          <w:rPr>
            <w:rStyle w:val="Hyperlink"/>
          </w:rPr>
          <w:t xml:space="preserve">investor.allegion.com</w:t>
        </w:r>
      </w:hyperlink>
      <w:r>
        <w:t xml:space="preserve">)</w:t>
      </w:r>
    </w:p>
    <w:bookmarkStart w:id="11" w:name="Xad31a66e4adba404525016f9fbe22b31aa51025"/>
    <w:p>
      <w:pPr>
        <w:pStyle w:val="Heading2"/>
      </w:pPr>
      <w:r>
        <w:t xml:space="preserve">Investment view: this is a margin-recovery and execution report</w:t>
      </w:r>
    </w:p>
    <w:p>
      <w:pPr>
        <w:pStyle w:val="FirstParagraph"/>
      </w:pPr>
      <w:r>
        <w:t xml:space="preserve">Allegion enters Q2 with its full-year framework intact but with a meaningful burden of proof following a mixed first quarter. Q1 reported revenue rose</w:t>
      </w:r>
      <w:r>
        <w:t xml:space="preserve"> </w:t>
      </w:r>
      <w:r>
        <w:rPr>
          <w:b/>
          <w:bCs/>
        </w:rPr>
        <w:t xml:space="preserve">9.7%</w:t>
      </w:r>
      <w:r>
        <w:t xml:space="preserve">, though organic growth was only</w:t>
      </w:r>
      <w:r>
        <w:t xml:space="preserve"> </w:t>
      </w:r>
      <w:r>
        <w:rPr>
          <w:b/>
          <w:bCs/>
        </w:rPr>
        <w:t xml:space="preserve">2.6%</w:t>
      </w:r>
      <w:r>
        <w:t xml:space="preserve">, driven entirely by pricing more than offsetting a</w:t>
      </w:r>
      <w:r>
        <w:t xml:space="preserve"> </w:t>
      </w:r>
      <w:r>
        <w:rPr>
          <w:b/>
          <w:bCs/>
        </w:rPr>
        <w:t xml:space="preserve">2.0% volume decline</w:t>
      </w:r>
      <w:r>
        <w:t xml:space="preserve">. Adjusted EPS declined</w:t>
      </w:r>
      <w:r>
        <w:t xml:space="preserve"> </w:t>
      </w:r>
      <w:r>
        <w:rPr>
          <w:b/>
          <w:bCs/>
        </w:rPr>
        <w:t xml:space="preserve">3.2%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$1.80</w:t>
      </w:r>
      <w:r>
        <w:t xml:space="preserve">, and adjusted operating margin fell</w:t>
      </w:r>
      <w:r>
        <w:t xml:space="preserve"> </w:t>
      </w:r>
      <w:r>
        <w:rPr>
          <w:b/>
          <w:bCs/>
        </w:rPr>
        <w:t xml:space="preserve">150 bps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21.2%</w:t>
      </w:r>
      <w:r>
        <w:t xml:space="preserve">. (</w:t>
      </w:r>
      <w:hyperlink r:id="rId10">
        <w:r>
          <w:rPr>
            <w:rStyle w:val="Hyperlink"/>
          </w:rPr>
          <w:t xml:space="preserve">investor.allegion.com</w:t>
        </w:r>
      </w:hyperlink>
      <w:r>
        <w:t xml:space="preserve">)</w:t>
      </w:r>
    </w:p>
    <w:p>
      <w:pPr>
        <w:pStyle w:val="BodyText"/>
      </w:pPr>
      <w:r>
        <w:t xml:space="preserve">The central question for investors is not simply whether ALLE delivers a Q2 beat versus the prior-year base. It is whether results validate management’s claims that: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Americas non-residential demand remains healthy;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pricing and cost actions can offset incremental tariff/inflation pressure without impairing demand;</w:t>
      </w:r>
    </w:p>
    <w:p>
      <w:pPr>
        <w:pStyle w:val="Compact"/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International ERP disruption is resolving</w:t>
      </w:r>
      <w:r>
        <w:t xml:space="preserve"> </w:t>
      </w:r>
      <w:r>
        <w:t xml:space="preserve">and its Q1 revenue/profit shortfall can be recovered; and</w:t>
      </w:r>
    </w:p>
    <w:p>
      <w:pPr>
        <w:pStyle w:val="Compact"/>
        <w:numPr>
          <w:ilvl w:val="0"/>
          <w:numId w:val="1001"/>
        </w:numPr>
      </w:pPr>
      <w:r>
        <w:t xml:space="preserve">margins can begin to improve sequentially before the more meaningful anticipated improvement in the second half.</w:t>
      </w:r>
    </w:p>
    <w:p>
      <w:pPr>
        <w:pStyle w:val="FirstParagraph"/>
      </w:pPr>
      <w:r>
        <w:t xml:space="preserve">Management reaffirmed FY2026 organic revenue growth of</w:t>
      </w:r>
      <w:r>
        <w:t xml:space="preserve"> </w:t>
      </w:r>
      <w:r>
        <w:rPr>
          <w:b/>
          <w:bCs/>
        </w:rPr>
        <w:t xml:space="preserve">2%–4%</w:t>
      </w:r>
      <w:r>
        <w:t xml:space="preserve"> </w:t>
      </w:r>
      <w:r>
        <w:t xml:space="preserve">and adjusted EPS of</w:t>
      </w:r>
      <w:r>
        <w:t xml:space="preserve"> </w:t>
      </w:r>
      <m:oMath>
        <m:r>
          <m:t>8.70</m:t>
        </m:r>
        <m:r>
          <m:rPr>
            <m:sty m:val="p"/>
          </m:rPr>
          <m:t>–</m:t>
        </m:r>
      </m:oMath>
      <w:r>
        <w:rPr>
          <w:b/>
          <w:bCs/>
        </w:rPr>
        <w:t xml:space="preserve">8.90</w:t>
      </w:r>
      <w:r>
        <w:t xml:space="preserve"> </w:t>
      </w:r>
      <w:r>
        <w:t xml:space="preserve">after Q1, while lifting reported revenue growth guidance to</w:t>
      </w:r>
      <w:r>
        <w:t xml:space="preserve"> </w:t>
      </w:r>
      <w:r>
        <w:rPr>
          <w:b/>
          <w:bCs/>
        </w:rPr>
        <w:t xml:space="preserve">6%–8%</w:t>
      </w:r>
      <w:r>
        <w:t xml:space="preserve"> </w:t>
      </w:r>
      <w:r>
        <w:t xml:space="preserve">to include the DCI acquisition. (</w:t>
      </w:r>
      <w:hyperlink r:id="rId10">
        <w:r>
          <w:rPr>
            <w:rStyle w:val="Hyperlink"/>
          </w:rPr>
          <w:t xml:space="preserve">investor.allegion.com</w:t>
        </w:r>
      </w:hyperlink>
      <w:r>
        <w:t xml:space="preserve">)</w:t>
      </w:r>
    </w:p>
    <w:bookmarkEnd w:id="11"/>
    <w:bookmarkStart w:id="13" w:name="X09dd651808b70ee13fb50a9dc827d9431196250"/>
    <w:p>
      <w:pPr>
        <w:pStyle w:val="Heading2"/>
      </w:pPr>
      <w:r>
        <w:t xml:space="preserve">The comparison base is demanding on profitability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$1.022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$2.04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23.7%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Americas organic growth / adjusted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4.5% / 29.9%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International organic growth / adjusted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(2.2%) / 13.1%</w:t>
            </w:r>
          </w:p>
        </w:tc>
      </w:tr>
    </w:tbl>
    <w:p>
      <w:pPr>
        <w:pStyle w:val="BodyText"/>
      </w:pPr>
      <w:r>
        <w:t xml:space="preserve">Q2 2025 featured high-single-digit Americas non-residential growth, volume growth plus price realization, and a notably strong Americas margin outcome. That makes the year-over-year margin comparison particularly difficult even if Q2 2026 improves sequentially from Q1. (</w:t>
      </w:r>
      <w:hyperlink r:id="rId12">
        <w:r>
          <w:rPr>
            <w:rStyle w:val="Hyperlink"/>
          </w:rPr>
          <w:t xml:space="preserve">investor.allegion.com</w:t>
        </w:r>
      </w:hyperlink>
      <w:r>
        <w:t xml:space="preserve">)</w:t>
      </w:r>
    </w:p>
    <w:bookmarkEnd w:id="13"/>
    <w:bookmarkStart w:id="20" w:name="what-matters-most-in-the-print"/>
    <w:p>
      <w:pPr>
        <w:pStyle w:val="Heading2"/>
      </w:pPr>
      <w:r>
        <w:t xml:space="preserve">What matters most in the print</w:t>
      </w:r>
    </w:p>
    <w:bookmarkStart w:id="15" w:name="Xd7319185188a6113ffbae21a5a1c37afe1cb35f"/>
    <w:p>
      <w:pPr>
        <w:pStyle w:val="Heading3"/>
      </w:pPr>
      <w:r>
        <w:t xml:space="preserve">1. Americas: price realization must give way to healthier volume</w:t>
      </w:r>
    </w:p>
    <w:p>
      <w:pPr>
        <w:pStyle w:val="FirstParagraph"/>
      </w:pPr>
      <w:r>
        <w:t xml:space="preserve">In Q1, Americas organic growth was</w:t>
      </w:r>
      <w:r>
        <w:t xml:space="preserve"> </w:t>
      </w:r>
      <w:r>
        <w:rPr>
          <w:b/>
          <w:bCs/>
        </w:rPr>
        <w:t xml:space="preserve">4.5%</w:t>
      </w:r>
      <w:r>
        <w:t xml:space="preserve">, with price realization of</w:t>
      </w:r>
      <w:r>
        <w:t xml:space="preserve"> </w:t>
      </w:r>
      <w:r>
        <w:rPr>
          <w:b/>
          <w:bCs/>
        </w:rPr>
        <w:t xml:space="preserve">5.5%</w:t>
      </w:r>
      <w:r>
        <w:t xml:space="preserve"> </w:t>
      </w:r>
      <w:r>
        <w:t xml:space="preserve">offset by a</w:t>
      </w:r>
      <w:r>
        <w:t xml:space="preserve"> </w:t>
      </w:r>
      <w:r>
        <w:rPr>
          <w:b/>
          <w:bCs/>
        </w:rPr>
        <w:t xml:space="preserve">1.0% volume decline</w:t>
      </w:r>
      <w:r>
        <w:t xml:space="preserve">. Non-residential grew mid-single digits organically, while residential was flat: pricing offset soft residential volumes. (</w:t>
      </w:r>
      <w:hyperlink r:id="rId14">
        <w:r>
          <w:rPr>
            <w:rStyle w:val="Hyperlink"/>
          </w:rPr>
          <w:t xml:space="preserve">investor.allegion.com</w:t>
        </w:r>
      </w:hyperlink>
      <w:r>
        <w:t xml:space="preserve">)</w:t>
      </w:r>
    </w:p>
    <w:p>
      <w:pPr>
        <w:pStyle w:val="BodyText"/>
      </w:pPr>
      <w:r>
        <w:t xml:space="preserve">For Q2, investors should focus on:</w:t>
      </w:r>
    </w:p>
    <w:p>
      <w:pPr>
        <w:pStyle w:val="Compact"/>
        <w:numPr>
          <w:ilvl w:val="0"/>
          <w:numId w:val="1002"/>
        </w:numPr>
      </w:pPr>
      <w:r>
        <w:t xml:space="preserve">Whether</w:t>
      </w:r>
      <w:r>
        <w:t xml:space="preserve"> </w:t>
      </w:r>
      <w:r>
        <w:rPr>
          <w:b/>
          <w:bCs/>
        </w:rPr>
        <w:t xml:space="preserve">non-residential volume</w:t>
      </w:r>
      <w:r>
        <w:t xml:space="preserve"> </w:t>
      </w:r>
      <w:r>
        <w:t xml:space="preserve">turns positive, rather than merely maintaining price-led growth.</w:t>
      </w:r>
    </w:p>
    <w:p>
      <w:pPr>
        <w:pStyle w:val="Compact"/>
        <w:numPr>
          <w:ilvl w:val="0"/>
          <w:numId w:val="1002"/>
        </w:numPr>
      </w:pPr>
      <w:r>
        <w:t xml:space="preserve">The durability of commercial specification activity and the conversion of that activity into orders and revenue.</w:t>
      </w:r>
    </w:p>
    <w:p>
      <w:pPr>
        <w:pStyle w:val="Compact"/>
        <w:numPr>
          <w:ilvl w:val="0"/>
          <w:numId w:val="1002"/>
        </w:numPr>
      </w:pPr>
      <w:r>
        <w:t xml:space="preserve">Whether residential remains a drag, or whether repair/remodel and electronic-lock adoption provide stabilization.</w:t>
      </w:r>
    </w:p>
    <w:p>
      <w:pPr>
        <w:pStyle w:val="Compact"/>
        <w:numPr>
          <w:ilvl w:val="0"/>
          <w:numId w:val="1002"/>
        </w:numPr>
      </w:pPr>
      <w:r>
        <w:t xml:space="preserve">Electronics growth, which management continues to position as a long-term outgrowth driver.</w:t>
      </w:r>
    </w:p>
    <w:p>
      <w:pPr>
        <w:pStyle w:val="FirstParagraph"/>
      </w:pPr>
      <w:r>
        <w:t xml:space="preserve">A price-led result that preserves organic growth may be sufficient to maintain guidance, but positive non-residential volume would be the cleaner signal that the growth outlook has upside.</w:t>
      </w:r>
    </w:p>
    <w:bookmarkEnd w:id="15"/>
    <w:bookmarkStart w:id="16" w:name="X719d255a5aeac1630ce7ba91b78fe33a4717e1b"/>
    <w:p>
      <w:pPr>
        <w:pStyle w:val="Heading3"/>
      </w:pPr>
      <w:r>
        <w:t xml:space="preserve">2. Margins: sequential improvement is expected, but the year-over-year hurdle remains high</w:t>
      </w:r>
    </w:p>
    <w:p>
      <w:pPr>
        <w:pStyle w:val="FirstParagraph"/>
      </w:pPr>
      <w:r>
        <w:t xml:space="preserve">Q1 margin pressure came from lower volumes, unfavorable mix, acquisitions, and the arithmetic effect of positive dollar pricing/productivity on the margin rate. Americas adjusted margin fell</w:t>
      </w:r>
      <w:r>
        <w:t xml:space="preserve"> </w:t>
      </w:r>
      <w:r>
        <w:rPr>
          <w:b/>
          <w:bCs/>
        </w:rPr>
        <w:t xml:space="preserve">110 bps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28.1%</w:t>
      </w:r>
      <w:r>
        <w:t xml:space="preserve">, while International fell</w:t>
      </w:r>
      <w:r>
        <w:t xml:space="preserve"> </w:t>
      </w:r>
      <w:r>
        <w:rPr>
          <w:b/>
          <w:bCs/>
        </w:rPr>
        <w:t xml:space="preserve">220 bps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8.0%</w:t>
      </w:r>
      <w:r>
        <w:t xml:space="preserve">. (</w:t>
      </w:r>
      <w:hyperlink r:id="rId10">
        <w:r>
          <w:rPr>
            <w:rStyle w:val="Hyperlink"/>
          </w:rPr>
          <w:t xml:space="preserve">investor.allegion.com</w:t>
        </w:r>
      </w:hyperlink>
      <w:r>
        <w:t xml:space="preserve">)</w:t>
      </w:r>
    </w:p>
    <w:p>
      <w:pPr>
        <w:pStyle w:val="BodyText"/>
      </w:pPr>
      <w:r>
        <w:t xml:space="preserve">Management previously indicated that Q2 Americas margins should improve from Q1 but may not show much year-over-year expansion; it also suggested International margin performance could remain softer year over year in Q2. Accordingly, a modest Q2 consolidated margin result should not, by itself, invalidate the FY outlook. The more important issue will be management’s confidence in a clearer</w:t>
      </w:r>
      <w:r>
        <w:t xml:space="preserve"> </w:t>
      </w:r>
      <w:r>
        <w:rPr>
          <w:b/>
          <w:bCs/>
        </w:rPr>
        <w:t xml:space="preserve">second-half margin inflection</w:t>
      </w:r>
      <w:r>
        <w:t xml:space="preserve">.</w:t>
      </w:r>
    </w:p>
    <w:bookmarkEnd w:id="16"/>
    <w:bookmarkStart w:id="17" w:name="X89e30121bffb3a3da521ed687d5c8571a9f7187"/>
    <w:p>
      <w:pPr>
        <w:pStyle w:val="Heading3"/>
      </w:pPr>
      <w:r>
        <w:t xml:space="preserve">3. International ERP recovery is the key execution swing factor</w:t>
      </w:r>
    </w:p>
    <w:p>
      <w:pPr>
        <w:pStyle w:val="FirstParagraph"/>
      </w:pPr>
      <w:r>
        <w:t xml:space="preserve">International organic revenue declined</w:t>
      </w:r>
      <w:r>
        <w:t xml:space="preserve"> </w:t>
      </w:r>
      <w:r>
        <w:rPr>
          <w:b/>
          <w:bCs/>
        </w:rPr>
        <w:t xml:space="preserve">5.3%</w:t>
      </w:r>
      <w:r>
        <w:t xml:space="preserve"> </w:t>
      </w:r>
      <w:r>
        <w:t xml:space="preserve">in Q1, largely because an ERP implementation disrupted production at a legacy European mechanical business. Management said the issue represented an operational—not demand—problem, with existing orders and backlog supporting recovery over the rest of 2026. (</w:t>
      </w:r>
      <w:hyperlink r:id="rId10">
        <w:r>
          <w:rPr>
            <w:rStyle w:val="Hyperlink"/>
          </w:rPr>
          <w:t xml:space="preserve">investor.allegion.com</w:t>
        </w:r>
      </w:hyperlink>
      <w:r>
        <w:t xml:space="preserve">)</w:t>
      </w:r>
    </w:p>
    <w:p>
      <w:pPr>
        <w:pStyle w:val="BodyText"/>
      </w:pPr>
      <w:r>
        <w:t xml:space="preserve">Q2 needs to show evidence that this recovery is real:</w:t>
      </w:r>
    </w:p>
    <w:p>
      <w:pPr>
        <w:pStyle w:val="Compact"/>
        <w:numPr>
          <w:ilvl w:val="0"/>
          <w:numId w:val="1003"/>
        </w:numPr>
      </w:pPr>
      <w:r>
        <w:t xml:space="preserve">Improved production rates and shipment conversion;</w:t>
      </w:r>
    </w:p>
    <w:p>
      <w:pPr>
        <w:pStyle w:val="Compact"/>
        <w:numPr>
          <w:ilvl w:val="0"/>
          <w:numId w:val="1003"/>
        </w:numPr>
      </w:pPr>
      <w:r>
        <w:t xml:space="preserve">A smaller organic decline, or a return to organic growth;</w:t>
      </w:r>
    </w:p>
    <w:p>
      <w:pPr>
        <w:pStyle w:val="Compact"/>
        <w:numPr>
          <w:ilvl w:val="0"/>
          <w:numId w:val="1003"/>
        </w:numPr>
      </w:pPr>
      <w:r>
        <w:t xml:space="preserve">Sequential margin improvement from Q1’s depressed 8.0% adjusted margin;</w:t>
      </w:r>
    </w:p>
    <w:p>
      <w:pPr>
        <w:pStyle w:val="Compact"/>
        <w:numPr>
          <w:ilvl w:val="0"/>
          <w:numId w:val="1003"/>
        </w:numPr>
      </w:pPr>
      <w:r>
        <w:t xml:space="preserve">No deterioration in backlog, cancellations, or customer service levels.</w:t>
      </w:r>
    </w:p>
    <w:p>
      <w:pPr>
        <w:pStyle w:val="FirstParagraph"/>
      </w:pPr>
      <w:r>
        <w:t xml:space="preserve">A limited recovery may still be acceptable if management can substantiate a second-half catch-up. Conversely, a further International shortfall would raise the risk that the FY EPS range requires an increasingly back-end-loaded recovery.</w:t>
      </w:r>
    </w:p>
    <w:bookmarkEnd w:id="17"/>
    <w:bookmarkStart w:id="18" w:name="X96431ad7423def2e08d1db3e34db1d316b0f63e"/>
    <w:p>
      <w:pPr>
        <w:pStyle w:val="Heading3"/>
      </w:pPr>
      <w:r>
        <w:t xml:space="preserve">4. Tariffs and inflation: watch the quality of mitigation</w:t>
      </w:r>
    </w:p>
    <w:p>
      <w:pPr>
        <w:pStyle w:val="FirstParagraph"/>
      </w:pPr>
      <w:r>
        <w:t xml:space="preserve">At Q1, Allegion estimated that recent tariff changes and other inflation would create an incremental headwind of roughly</w:t>
      </w:r>
      <w:r>
        <w:t xml:space="preserve"> </w:t>
      </w:r>
      <w:r>
        <w:rPr>
          <w:b/>
          <w:bCs/>
        </w:rPr>
        <w:t xml:space="preserve">1% of cost of goods sold</w:t>
      </w:r>
      <w:r>
        <w:t xml:space="preserve">. Management expected to offset this at adjusted operating income and EPS through a combination of pricing and cost actions, but had not incorporated incremental price into the organic-growth outlook because of the volatile environment. (</w:t>
      </w:r>
      <w:hyperlink r:id="rId14">
        <w:r>
          <w:rPr>
            <w:rStyle w:val="Hyperlink"/>
          </w:rPr>
          <w:t xml:space="preserve">investor.allegion.com</w:t>
        </w:r>
      </w:hyperlink>
      <w:r>
        <w:t xml:space="preserve">)</w:t>
      </w:r>
    </w:p>
    <w:p>
      <w:pPr>
        <w:pStyle w:val="BodyText"/>
      </w:pPr>
      <w:r>
        <w:t xml:space="preserve">The call should clarify:</w:t>
      </w:r>
    </w:p>
    <w:p>
      <w:pPr>
        <w:pStyle w:val="Compact"/>
        <w:numPr>
          <w:ilvl w:val="0"/>
          <w:numId w:val="1004"/>
        </w:numPr>
      </w:pPr>
      <w:r>
        <w:t xml:space="preserve">Whether pricing actions or surcharges have now been implemented;</w:t>
      </w:r>
    </w:p>
    <w:p>
      <w:pPr>
        <w:pStyle w:val="Compact"/>
        <w:numPr>
          <w:ilvl w:val="0"/>
          <w:numId w:val="1004"/>
        </w:numPr>
      </w:pPr>
      <w:r>
        <w:t xml:space="preserve">The timing of realization relative to cost inflation;</w:t>
      </w:r>
    </w:p>
    <w:p>
      <w:pPr>
        <w:pStyle w:val="Compact"/>
        <w:numPr>
          <w:ilvl w:val="0"/>
          <w:numId w:val="1004"/>
        </w:numPr>
      </w:pPr>
      <w:r>
        <w:t xml:space="preserve">Whether mitigation remains neutral in dollar profit terms;</w:t>
      </w:r>
    </w:p>
    <w:p>
      <w:pPr>
        <w:pStyle w:val="Compact"/>
        <w:numPr>
          <w:ilvl w:val="0"/>
          <w:numId w:val="1004"/>
        </w:numPr>
      </w:pPr>
      <w:r>
        <w:t xml:space="preserve">Whether pricing creates any demand or competitive risk.</w:t>
      </w:r>
    </w:p>
    <w:p>
      <w:pPr>
        <w:pStyle w:val="FirstParagraph"/>
      </w:pPr>
      <w:r>
        <w:t xml:space="preserve">The favorable outcome is an unchanged or improved EPS outlook with no worsening commentary on price/cost timing.</w:t>
      </w:r>
    </w:p>
    <w:bookmarkEnd w:id="18"/>
    <w:bookmarkStart w:id="19" w:name="Xbe4c83e1f6e8f247f93c7c7a54b14fe13d3f577"/>
    <w:p>
      <w:pPr>
        <w:pStyle w:val="Heading3"/>
      </w:pPr>
      <w:r>
        <w:t xml:space="preserve">5. DCI and capital deployment are supportive, but not the main near-term catalyst</w:t>
      </w:r>
    </w:p>
    <w:p>
      <w:pPr>
        <w:pStyle w:val="FirstParagraph"/>
      </w:pPr>
      <w:r>
        <w:t xml:space="preserve">The DCI acquisition increases Allegion’s West Coast hollow-metal doors and frames capability and supports its non-residential package offering. However, DCI is initially lower margin and management indicated it would be a headwind to consolidated margin rate while being only modestly EPS accretive in 2026. (</w:t>
      </w:r>
      <w:hyperlink r:id="rId14">
        <w:r>
          <w:rPr>
            <w:rStyle w:val="Hyperlink"/>
          </w:rPr>
          <w:t xml:space="preserve">investor.allegion.com</w:t>
        </w:r>
      </w:hyperlink>
      <w:r>
        <w:t xml:space="preserve">)</w:t>
      </w:r>
    </w:p>
    <w:p>
      <w:pPr>
        <w:pStyle w:val="BodyText"/>
      </w:pPr>
      <w:r>
        <w:t xml:space="preserve">Capital allocation remains a secondary positive: Allegion repurchased roughly</w:t>
      </w:r>
      <w:r>
        <w:t xml:space="preserve"> </w:t>
      </w:r>
      <m:oMath>
        <m:r>
          <m:t>40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t>p</m:t>
        </m:r>
        <m:r>
          <m:t>a</m:t>
        </m:r>
        <m:r>
          <m:t>i</m:t>
        </m:r>
        <m:r>
          <m:t>d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47 million</w:t>
      </w:r>
      <w:r>
        <w:t xml:space="preserve"> </w:t>
      </w:r>
      <w:r>
        <w:t xml:space="preserve">of dividends, and received authorization for a new</w:t>
      </w:r>
      <w:r>
        <w:t xml:space="preserve"> </w:t>
      </w:r>
      <w:r>
        <w:rPr>
          <w:b/>
          <w:bCs/>
        </w:rPr>
        <w:t xml:space="preserve">$500 million</w:t>
      </w:r>
      <w:r>
        <w:t xml:space="preserve"> </w:t>
      </w:r>
      <w:r>
        <w:t xml:space="preserve">repurchase program. (</w:t>
      </w:r>
      <w:hyperlink r:id="rId10">
        <w:r>
          <w:rPr>
            <w:rStyle w:val="Hyperlink"/>
          </w:rPr>
          <w:t xml:space="preserve">investor.allegion.com</w:t>
        </w:r>
      </w:hyperlink>
      <w:r>
        <w:t xml:space="preserve">)</w:t>
      </w:r>
    </w:p>
    <w:bookmarkEnd w:id="19"/>
    <w:bookmarkEnd w:id="20"/>
    <w:bookmarkStart w:id="21" w:name="X3849bb5d7aec5e34ccc1979e85d91a2d06ddf7c"/>
    <w:p>
      <w:pPr>
        <w:pStyle w:val="Heading2"/>
      </w:pPr>
      <w:r>
        <w:t xml:space="preserve">What would constitute a constructive result?</w:t>
      </w:r>
    </w:p>
    <w:p>
      <w:pPr>
        <w:pStyle w:val="FirstParagraph"/>
      </w:pPr>
      <w:r>
        <w:t xml:space="preserve">A constructive Q2 would likely include:</w:t>
      </w:r>
    </w:p>
    <w:p>
      <w:pPr>
        <w:pStyle w:val="Compact"/>
        <w:numPr>
          <w:ilvl w:val="0"/>
          <w:numId w:val="1005"/>
        </w:numPr>
      </w:pPr>
      <w:r>
        <w:t xml:space="preserve">Organic growth consistent with, or above, the</w:t>
      </w:r>
      <w:r>
        <w:t xml:space="preserve"> </w:t>
      </w:r>
      <w:r>
        <w:rPr>
          <w:b/>
          <w:bCs/>
        </w:rPr>
        <w:t xml:space="preserve">2%–4%</w:t>
      </w:r>
      <w:r>
        <w:t xml:space="preserve"> </w:t>
      </w:r>
      <w:r>
        <w:t xml:space="preserve">full-year range;</w:t>
      </w:r>
    </w:p>
    <w:p>
      <w:pPr>
        <w:pStyle w:val="Compact"/>
        <w:numPr>
          <w:ilvl w:val="0"/>
          <w:numId w:val="1005"/>
        </w:numPr>
      </w:pPr>
      <w:r>
        <w:t xml:space="preserve">Positive or improving Americas volumes, particularly in non-residential;</w:t>
      </w:r>
    </w:p>
    <w:p>
      <w:pPr>
        <w:pStyle w:val="Compact"/>
        <w:numPr>
          <w:ilvl w:val="0"/>
          <w:numId w:val="1005"/>
        </w:numPr>
      </w:pPr>
      <w:r>
        <w:t xml:space="preserve">Visible sequential International recovery and confirmation that ERP-related backlog conversion is underway;</w:t>
      </w:r>
    </w:p>
    <w:p>
      <w:pPr>
        <w:pStyle w:val="Compact"/>
        <w:numPr>
          <w:ilvl w:val="0"/>
          <w:numId w:val="1005"/>
        </w:numPr>
      </w:pPr>
      <w:r>
        <w:t xml:space="preserve">Consolidated margins improving sequentially despite a difficult Q2 2025 comparison;</w:t>
      </w:r>
    </w:p>
    <w:p>
      <w:pPr>
        <w:pStyle w:val="Compact"/>
        <w:numPr>
          <w:ilvl w:val="0"/>
          <w:numId w:val="1005"/>
        </w:numPr>
      </w:pPr>
      <w:r>
        <w:t xml:space="preserve">Reaffirmation of the</w:t>
      </w:r>
      <w:r>
        <w:t xml:space="preserve"> </w:t>
      </w:r>
      <m:oMath>
        <m:r>
          <m:t>8.70</m:t>
        </m:r>
        <m:r>
          <m:rPr>
            <m:sty m:val="p"/>
          </m:rPr>
          <m:t>–</m:t>
        </m:r>
      </m:oMath>
      <w:r>
        <w:rPr>
          <w:b/>
          <w:bCs/>
        </w:rPr>
        <w:t xml:space="preserve">8.90</w:t>
      </w:r>
      <w:r>
        <w:t xml:space="preserve"> </w:t>
      </w:r>
      <w:r>
        <w:t xml:space="preserve">adjusted EPS outlook, ideally with increased confidence in second-half margin expansion;</w:t>
      </w:r>
    </w:p>
    <w:p>
      <w:pPr>
        <w:pStyle w:val="Compact"/>
        <w:numPr>
          <w:ilvl w:val="0"/>
          <w:numId w:val="1005"/>
        </w:numPr>
      </w:pPr>
      <w:r>
        <w:t xml:space="preserve">Credible evidence that tariffs/inflation remain neutral to full-year earnings.</w:t>
      </w:r>
    </w:p>
    <w:bookmarkEnd w:id="21"/>
    <w:bookmarkStart w:id="22" w:name="what-could-disappoint"/>
    <w:p>
      <w:pPr>
        <w:pStyle w:val="Heading2"/>
      </w:pPr>
      <w:r>
        <w:t xml:space="preserve">What could disappoint?</w:t>
      </w:r>
    </w:p>
    <w:p>
      <w:pPr>
        <w:pStyle w:val="FirstParagraph"/>
      </w:pPr>
      <w:r>
        <w:t xml:space="preserve">The principal downside risks are:</w:t>
      </w:r>
    </w:p>
    <w:p>
      <w:pPr>
        <w:pStyle w:val="Compact"/>
        <w:numPr>
          <w:ilvl w:val="0"/>
          <w:numId w:val="1006"/>
        </w:numPr>
      </w:pPr>
      <w:r>
        <w:t xml:space="preserve">Americas growth remaining entirely price-driven while volumes weaken further;</w:t>
      </w:r>
    </w:p>
    <w:p>
      <w:pPr>
        <w:pStyle w:val="Compact"/>
        <w:numPr>
          <w:ilvl w:val="0"/>
          <w:numId w:val="1006"/>
        </w:numPr>
      </w:pPr>
      <w:r>
        <w:t xml:space="preserve">Residential softness accelerating;</w:t>
      </w:r>
    </w:p>
    <w:p>
      <w:pPr>
        <w:pStyle w:val="Compact"/>
        <w:numPr>
          <w:ilvl w:val="0"/>
          <w:numId w:val="1006"/>
        </w:numPr>
      </w:pPr>
      <w:r>
        <w:t xml:space="preserve">A delayed or incomplete ERP recovery in International;</w:t>
      </w:r>
    </w:p>
    <w:p>
      <w:pPr>
        <w:pStyle w:val="Compact"/>
        <w:numPr>
          <w:ilvl w:val="0"/>
          <w:numId w:val="1006"/>
        </w:numPr>
      </w:pPr>
      <w:r>
        <w:t xml:space="preserve">Margin weakness extending beyond the anticipated Q2 softness;</w:t>
      </w:r>
    </w:p>
    <w:p>
      <w:pPr>
        <w:pStyle w:val="Compact"/>
        <w:numPr>
          <w:ilvl w:val="0"/>
          <w:numId w:val="1006"/>
        </w:numPr>
      </w:pPr>
      <w:r>
        <w:t xml:space="preserve">Tariff/inflation mitigation slipping, forcing a reduction in the EPS outlook;</w:t>
      </w:r>
    </w:p>
    <w:p>
      <w:pPr>
        <w:pStyle w:val="Compact"/>
        <w:numPr>
          <w:ilvl w:val="0"/>
          <w:numId w:val="1006"/>
        </w:numPr>
      </w:pPr>
      <w:r>
        <w:t xml:space="preserve">A guide reaffirmation that appears dependent on an unusually large second-half recovery without supporting order, backlog, or production evidence.</w:t>
      </w:r>
    </w:p>
    <w:bookmarkEnd w:id="22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ALLE’s Q2 report is primarily a test of</w:t>
      </w:r>
      <w:r>
        <w:t xml:space="preserve"> </w:t>
      </w:r>
      <w:r>
        <w:rPr>
          <w:b/>
          <w:bCs/>
        </w:rPr>
        <w:t xml:space="preserve">execution against an already-reaffirmed full-year plan</w:t>
      </w:r>
      <w:r>
        <w:t xml:space="preserve">. The most important datapoints will be the quality of Americas demand, International ERP recovery, sequential margin progression, and the credibility of the second-half setup.</w:t>
      </w:r>
    </w:p>
    <w:p>
      <w:pPr>
        <w:pStyle w:val="BodyText"/>
      </w:pPr>
      <w:r>
        <w:t xml:space="preserve">A modest quarter with maintained guidance can work if management demonstrates that the ERP disruption is behind it and that margin expansion is becoming visible. A weak International performance or further volume-driven margin pressure, however, would make the full-year EPS range more difficult to underwrite.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investor.allegion.com/news-and-events/news-releases/2025/07-24-2025-110052252?utm_source=openai" TargetMode="External" /><Relationship Type="http://schemas.openxmlformats.org/officeDocument/2006/relationships/hyperlink" Id="rId10" Target="https://investor.allegion.com/news-and-events/news-releases/2026/04-28-2026-110047704?utm_source=openai" TargetMode="External" /><Relationship Type="http://schemas.openxmlformats.org/officeDocument/2006/relationships/hyperlink" Id="rId9" Target="https://investor.allegion.com/~/media/Files/A/Allegion-IR/press-release/q2-2026-earnings-advisory-final.pdf" TargetMode="External" /><Relationship Type="http://schemas.openxmlformats.org/officeDocument/2006/relationships/hyperlink" Id="rId14" Target="https://investor.allegion.com/~/media/Files/A/Allegion-IR/reports-and-presentations/q1-2026-allegion-earnings-call-presentation-final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investor.allegion.com/news-and-events/news-releases/2025/07-24-2025-110052252?utm_source=openai" TargetMode="External" /><Relationship Type="http://schemas.openxmlformats.org/officeDocument/2006/relationships/hyperlink" Id="rId10" Target="https://investor.allegion.com/news-and-events/news-releases/2026/04-28-2026-110047704?utm_source=openai" TargetMode="External" /><Relationship Type="http://schemas.openxmlformats.org/officeDocument/2006/relationships/hyperlink" Id="rId9" Target="https://investor.allegion.com/~/media/Files/A/Allegion-IR/press-release/q2-2026-earnings-advisory-final.pdf" TargetMode="External" /><Relationship Type="http://schemas.openxmlformats.org/officeDocument/2006/relationships/hyperlink" Id="rId14" Target="https://investor.allegion.com/~/media/Files/A/Allegion-IR/reports-and-presentations/q1-2026-allegion-earnings-call-presentation-final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2026-07-23T00:18:34Z</dcterms:created>
  <dcterms:modified xsi:type="dcterms:W3CDTF">2026-07-23T00:18:34Z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