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Allegion plc (ALLE) — Q2 2026 Earnings Preview</w:t>
      </w:r>
    </w:p>
    <w:p>
      <w:r>
        <w:rPr>
          <w:rFonts w:ascii="Calibri" w:hAnsi="Calibri"/>
          <w:i/>
          <w:color w:val="525866"/>
          <w:sz w:val="22"/>
        </w:rPr>
        <w:t>Prepared: July 22, 2026  |  Upcoming Earnings: Q2 2026 (expected late July 2026)  |  Last Earnings: Q1 2026, reported April 28, 2026</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is mixed — the Americas non-residential core remains healthy and the bar is achievable, but the single biggest swing factor is whether the International segment's ERP recovery is tracking as promised heading into Q2.</w:t>
      </w:r>
    </w:p>
    <w:p>
      <w:r>
        <w:rPr>
          <w:rFonts w:ascii="Calibri" w:hAnsi="Calibri"/>
          <w:color w:val="525866"/>
          <w:sz w:val="22"/>
        </w:rPr>
        <w:t xml:space="preserve">Heading into Q2 2026, Allegion's setup is one of a company with a solid core but a self-inflicted overhang. </w:t>
      </w:r>
      <w:r>
        <w:rPr>
          <w:rFonts w:ascii="Calibri" w:hAnsi="Calibri"/>
          <w:b/>
          <w:color w:val="525866"/>
          <w:sz w:val="22"/>
        </w:rPr>
        <w:t>Americas non-residential organic growth</w:t>
      </w:r>
      <w:r>
        <w:rPr>
          <w:rFonts w:ascii="Calibri" w:hAnsi="Calibri"/>
          <w:color w:val="525866"/>
          <w:sz w:val="22"/>
        </w:rPr>
        <w:t xml:space="preserve"> — the engine of the business — is expected to continue at mid-single digits, supported by strong spec activity, resilient institutional demand, and price realization, with management explicitly guiding for volume growth in non-res for the full year. The </w:t>
      </w:r>
      <w:r>
        <w:rPr>
          <w:rFonts w:ascii="Calibri" w:hAnsi="Calibri"/>
          <w:b/>
          <w:color w:val="525866"/>
          <w:sz w:val="22"/>
        </w:rPr>
        <w:t>International ERP recovery</w:t>
      </w:r>
      <w:r>
        <w:rPr>
          <w:rFonts w:ascii="Calibri" w:hAnsi="Calibri"/>
          <w:color w:val="525866"/>
          <w:sz w:val="22"/>
        </w:rPr>
        <w:t xml:space="preserve"> is the critical variable: management guided at Q1 earnings that the Q1 shortfall would be recovered over Q2–Q4, and at the June 9 Wells Fargo conference CEO Stone confirmed the business has "largely stopped the revenue bleed" and is back to producing and selling at rate — but Q2 margins in International are still expected to be "a little softer versus last year," meaning the recovery is back-half weighted. Consensus adjusted EPS for Q2 2026 stands at ~$2.21, implying meaningful year-over-year growth from $2.04 in Q2 2025, a bar that requires Americas margin stability and at least sequential International improvement. The stock has underperformed XLI (+4.6%) and SPY (+5.0%) materially since the Q1 print, down only ~1.5% in absolute terms but lagging the market by ~350–500 bps, suggesting the market has not yet rewarded the recovery narrative. The </w:t>
      </w:r>
      <w:r>
        <w:rPr>
          <w:rFonts w:ascii="Calibri" w:hAnsi="Calibri"/>
          <w:b/>
          <w:color w:val="525866"/>
          <w:sz w:val="22"/>
        </w:rPr>
        <w:t>wildcard</w:t>
      </w:r>
      <w:r>
        <w:rPr>
          <w:rFonts w:ascii="Calibri" w:hAnsi="Calibri"/>
          <w:color w:val="525866"/>
          <w:sz w:val="22"/>
        </w:rPr>
        <w:t xml:space="preserve"> is tariff pricing realization: Allegion announced pricing actions post-Q1 that are not yet in the market, and the degree to which those surcharges or list price increases land in Q2 revenue and protect margins will determine whether the company can hold its full-year EPS guide of $8.70–$8.90.</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sets a moderately achievable bar on revenue (~$1.12B, +15.7% reported YoY) but a more demanding one on adjusted EPS (~$2.21 vs. $2.04 in Q2 2025). The bigger swing factor is </w:t>
      </w:r>
      <w:r>
        <w:rPr>
          <w:rFonts w:ascii="Calibri" w:hAnsi="Calibri"/>
          <w:b/>
          <w:color w:val="525866"/>
          <w:sz w:val="22"/>
        </w:rPr>
        <w:t>International organic growth</w:t>
      </w:r>
      <w:r>
        <w:rPr>
          <w:rFonts w:ascii="Calibri" w:hAnsi="Calibri"/>
          <w:color w:val="525866"/>
          <w:sz w:val="22"/>
        </w:rPr>
        <w:t xml:space="preserve"> — consensus expects roughly flat to slightly negative organically, but any upside from the ERP recovery could surprise positively on both revenue and margin.</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Quarter Actual (Q1 2026)</w:t>
            </w:r>
          </w:p>
        </w:tc>
        <w:tc>
          <w:tcPr>
            <w:tcW w:type="dxa" w:w="1234"/>
            <w:shd w:val="clear" w:color="auto" w:fill="3B4259"/>
          </w:tcPr>
          <w:p>
            <w:r>
              <w:rPr>
                <w:rFonts w:ascii="Calibri" w:hAnsi="Calibri"/>
                <w:b/>
                <w:color w:val="FFFFFF"/>
                <w:sz w:val="22"/>
              </w:rPr>
              <w:t>Prior Year Period (Q2 2025)</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 (vs. Q2 2025)</w:t>
            </w:r>
          </w:p>
        </w:tc>
        <w:tc>
          <w:tcPr>
            <w:tcW w:type="dxa" w:w="1234"/>
            <w:shd w:val="clear" w:color="auto" w:fill="3B4259"/>
          </w:tcPr>
          <w:p>
            <w:r>
              <w:rPr>
                <w:rFonts w:ascii="Calibri" w:hAnsi="Calibri"/>
                <w:b/>
                <w:color w:val="FFFFFF"/>
                <w:sz w:val="22"/>
              </w:rPr>
              <w:t>FY 2026 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Total Revenue ($M)</w:t>
            </w:r>
          </w:p>
        </w:tc>
        <w:tc>
          <w:tcPr>
            <w:tcW w:type="dxa" w:w="1234"/>
          </w:tcPr>
          <w:p>
            <w:r>
              <w:rPr>
                <w:rFonts w:ascii="Calibri" w:hAnsi="Calibri"/>
                <w:sz w:val="22"/>
              </w:rPr>
              <w:t>$1,033.6M</w:t>
            </w:r>
          </w:p>
        </w:tc>
        <w:tc>
          <w:tcPr>
            <w:tcW w:type="dxa" w:w="1234"/>
          </w:tcPr>
          <w:p>
            <w:r>
              <w:rPr>
                <w:rFonts w:ascii="Calibri" w:hAnsi="Calibri"/>
                <w:sz w:val="22"/>
              </w:rPr>
              <w:t>$1,022.0M</w:t>
            </w:r>
          </w:p>
        </w:tc>
        <w:tc>
          <w:tcPr>
            <w:tcW w:type="dxa" w:w="1234"/>
          </w:tcPr>
          <w:p>
            <w:r>
              <w:rPr>
                <w:rFonts w:ascii="Calibri" w:hAnsi="Calibri"/>
                <w:sz w:val="22"/>
              </w:rPr>
              <w:t>$1,117.4M</w:t>
            </w:r>
          </w:p>
        </w:tc>
        <w:tc>
          <w:tcPr>
            <w:tcW w:type="dxa" w:w="1234"/>
          </w:tcPr>
          <w:p>
            <w:r>
              <w:rPr>
                <w:rFonts w:ascii="Calibri" w:hAnsi="Calibri"/>
                <w:sz w:val="22"/>
              </w:rPr>
              <w:t>+9.3%</w:t>
            </w:r>
          </w:p>
        </w:tc>
        <w:tc>
          <w:tcPr>
            <w:tcW w:type="dxa" w:w="1234"/>
          </w:tcPr>
          <w:p>
            <w:r>
              <w:rPr>
                <w:rFonts w:ascii="Calibri" w:hAnsi="Calibri"/>
                <w:sz w:val="22"/>
              </w:rPr>
              <w:t>+6% to +8% reported</w:t>
            </w:r>
          </w:p>
        </w:tc>
        <w:tc>
          <w:tcPr>
            <w:tcW w:type="dxa" w:w="1234"/>
          </w:tcPr>
          <w:p>
            <w:r>
              <w:rPr>
                <w:rFonts w:ascii="Calibri" w:hAnsi="Calibri"/>
                <w:sz w:val="22"/>
              </w:rPr>
              <w:t>N/A (FY metric)</w:t>
            </w:r>
          </w:p>
        </w:tc>
      </w:tr>
      <w:tr>
        <w:tc>
          <w:tcPr>
            <w:tcW w:type="dxa" w:w="1234"/>
          </w:tcPr>
          <w:p>
            <w:r>
              <w:rPr>
                <w:rFonts w:ascii="Calibri" w:hAnsi="Calibri"/>
                <w:sz w:val="22"/>
              </w:rPr>
              <w:t>Americas Revenue ($M)</w:t>
            </w:r>
          </w:p>
        </w:tc>
        <w:tc>
          <w:tcPr>
            <w:tcW w:type="dxa" w:w="1234"/>
          </w:tcPr>
          <w:p>
            <w:r>
              <w:rPr>
                <w:rFonts w:ascii="Calibri" w:hAnsi="Calibri"/>
                <w:sz w:val="22"/>
              </w:rPr>
              <w:t>$809.9M</w:t>
            </w:r>
          </w:p>
        </w:tc>
        <w:tc>
          <w:tcPr>
            <w:tcW w:type="dxa" w:w="1234"/>
          </w:tcPr>
          <w:p>
            <w:r>
              <w:rPr>
                <w:rFonts w:ascii="Calibri" w:hAnsi="Calibri"/>
                <w:sz w:val="22"/>
              </w:rPr>
              <w:t>$821.5M</w:t>
            </w:r>
          </w:p>
        </w:tc>
        <w:tc>
          <w:tcPr>
            <w:tcW w:type="dxa" w:w="1234"/>
          </w:tcPr>
          <w:p>
            <w:r>
              <w:rPr>
                <w:rFonts w:ascii="Calibri" w:hAnsi="Calibri"/>
                <w:sz w:val="22"/>
              </w:rPr>
              <w:t>$881.3M</w:t>
            </w:r>
          </w:p>
        </w:tc>
        <w:tc>
          <w:tcPr>
            <w:tcW w:type="dxa" w:w="1234"/>
          </w:tcPr>
          <w:p>
            <w:r>
              <w:rPr>
                <w:rFonts w:ascii="Calibri" w:hAnsi="Calibri"/>
                <w:sz w:val="22"/>
              </w:rPr>
              <w:t>+7.3%</w:t>
            </w:r>
          </w:p>
        </w:tc>
        <w:tc>
          <w:tcPr>
            <w:tcW w:type="dxa" w:w="1234"/>
          </w:tcPr>
          <w:p>
            <w:r>
              <w:rPr>
                <w:rFonts w:ascii="Calibri" w:hAnsi="Calibri"/>
                <w:sz w:val="22"/>
              </w:rPr>
              <w:t>N/A (segment)</w:t>
            </w:r>
          </w:p>
        </w:tc>
        <w:tc>
          <w:tcPr>
            <w:tcW w:type="dxa" w:w="1234"/>
          </w:tcPr>
          <w:p>
            <w:r>
              <w:rPr>
                <w:rFonts w:ascii="Calibri" w:hAnsi="Calibri"/>
                <w:sz w:val="22"/>
              </w:rPr>
              <w:t>N/A</w:t>
            </w:r>
          </w:p>
        </w:tc>
      </w:tr>
      <w:tr>
        <w:tc>
          <w:tcPr>
            <w:tcW w:type="dxa" w:w="1234"/>
          </w:tcPr>
          <w:p>
            <w:r>
              <w:rPr>
                <w:rFonts w:ascii="Calibri" w:hAnsi="Calibri"/>
                <w:sz w:val="22"/>
              </w:rPr>
              <w:t>International Revenue ($M)</w:t>
            </w:r>
          </w:p>
        </w:tc>
        <w:tc>
          <w:tcPr>
            <w:tcW w:type="dxa" w:w="1234"/>
          </w:tcPr>
          <w:p>
            <w:r>
              <w:rPr>
                <w:rFonts w:ascii="Calibri" w:hAnsi="Calibri"/>
                <w:sz w:val="22"/>
              </w:rPr>
              <w:t>$223.7M</w:t>
            </w:r>
          </w:p>
        </w:tc>
        <w:tc>
          <w:tcPr>
            <w:tcW w:type="dxa" w:w="1234"/>
          </w:tcPr>
          <w:p>
            <w:r>
              <w:rPr>
                <w:rFonts w:ascii="Calibri" w:hAnsi="Calibri"/>
                <w:sz w:val="22"/>
              </w:rPr>
              <w:t>$200.5M</w:t>
            </w:r>
          </w:p>
        </w:tc>
        <w:tc>
          <w:tcPr>
            <w:tcW w:type="dxa" w:w="1234"/>
          </w:tcPr>
          <w:p>
            <w:r>
              <w:rPr>
                <w:rFonts w:ascii="Calibri" w:hAnsi="Calibri"/>
                <w:sz w:val="22"/>
              </w:rPr>
              <w:t>$236.1M</w:t>
            </w:r>
          </w:p>
        </w:tc>
        <w:tc>
          <w:tcPr>
            <w:tcW w:type="dxa" w:w="1234"/>
          </w:tcPr>
          <w:p>
            <w:r>
              <w:rPr>
                <w:rFonts w:ascii="Calibri" w:hAnsi="Calibri"/>
                <w:sz w:val="22"/>
              </w:rPr>
              <w:t>+17.7%</w:t>
            </w:r>
          </w:p>
        </w:tc>
        <w:tc>
          <w:tcPr>
            <w:tcW w:type="dxa" w:w="1234"/>
          </w:tcPr>
          <w:p>
            <w:r>
              <w:rPr>
                <w:rFonts w:ascii="Calibri" w:hAnsi="Calibri"/>
                <w:sz w:val="22"/>
              </w:rPr>
              <w:t>N/A (segment)</w:t>
            </w:r>
          </w:p>
        </w:tc>
        <w:tc>
          <w:tcPr>
            <w:tcW w:type="dxa" w:w="1234"/>
          </w:tcPr>
          <w:p>
            <w:r>
              <w:rPr>
                <w:rFonts w:ascii="Calibri" w:hAnsi="Calibri"/>
                <w:sz w:val="22"/>
              </w:rPr>
              <w:t>N/A</w:t>
            </w:r>
          </w:p>
        </w:tc>
      </w:tr>
      <w:tr>
        <w:tc>
          <w:tcPr>
            <w:tcW w:type="dxa" w:w="1234"/>
          </w:tcPr>
          <w:p>
            <w:r>
              <w:rPr>
                <w:rFonts w:ascii="Calibri" w:hAnsi="Calibri"/>
                <w:sz w:val="22"/>
              </w:rPr>
              <w:t>Organic Revenue Growth — Total (%)</w:t>
            </w:r>
          </w:p>
        </w:tc>
        <w:tc>
          <w:tcPr>
            <w:tcW w:type="dxa" w:w="1234"/>
          </w:tcPr>
          <w:p>
            <w:r>
              <w:rPr>
                <w:rFonts w:ascii="Calibri" w:hAnsi="Calibri"/>
                <w:sz w:val="22"/>
              </w:rPr>
              <w:t>+2.6%</w:t>
            </w:r>
          </w:p>
        </w:tc>
        <w:tc>
          <w:tcPr>
            <w:tcW w:type="dxa" w:w="1234"/>
          </w:tcPr>
          <w:p>
            <w:r>
              <w:rPr>
                <w:rFonts w:ascii="Calibri" w:hAnsi="Calibri"/>
                <w:sz w:val="22"/>
              </w:rPr>
              <w:t>+3.2%</w:t>
            </w:r>
          </w:p>
        </w:tc>
        <w:tc>
          <w:tcPr>
            <w:tcW w:type="dxa" w:w="1234"/>
          </w:tcPr>
          <w:p>
            <w:r>
              <w:rPr>
                <w:rFonts w:ascii="Calibri" w:hAnsi="Calibri"/>
                <w:sz w:val="22"/>
              </w:rPr>
              <w:t>+3.7%</w:t>
            </w:r>
          </w:p>
        </w:tc>
        <w:tc>
          <w:tcPr>
            <w:tcW w:type="dxa" w:w="1234"/>
          </w:tcPr>
          <w:p>
            <w:r>
              <w:rPr>
                <w:rFonts w:ascii="Calibri" w:hAnsi="Calibri"/>
                <w:sz w:val="22"/>
              </w:rPr>
              <w:t>+50 bps vs. Q2 2025</w:t>
            </w:r>
          </w:p>
        </w:tc>
        <w:tc>
          <w:tcPr>
            <w:tcW w:type="dxa" w:w="1234"/>
          </w:tcPr>
          <w:p>
            <w:r>
              <w:rPr>
                <w:rFonts w:ascii="Calibri" w:hAnsi="Calibri"/>
                <w:sz w:val="22"/>
              </w:rPr>
              <w:t>+2% to +4%</w:t>
            </w:r>
          </w:p>
        </w:tc>
        <w:tc>
          <w:tcPr>
            <w:tcW w:type="dxa" w:w="1234"/>
          </w:tcPr>
          <w:p>
            <w:r>
              <w:rPr>
                <w:rFonts w:ascii="Calibri" w:hAnsi="Calibri"/>
                <w:sz w:val="22"/>
              </w:rPr>
              <w:t>~+70 bps above midpoint</w:t>
            </w:r>
          </w:p>
        </w:tc>
      </w:tr>
      <w:tr>
        <w:tc>
          <w:tcPr>
            <w:tcW w:type="dxa" w:w="1234"/>
          </w:tcPr>
          <w:p>
            <w:r>
              <w:rPr>
                <w:rFonts w:ascii="Calibri" w:hAnsi="Calibri"/>
                <w:sz w:val="22"/>
              </w:rPr>
              <w:t>Organic Revenue Growth — Americas (%)</w:t>
            </w:r>
          </w:p>
        </w:tc>
        <w:tc>
          <w:tcPr>
            <w:tcW w:type="dxa" w:w="1234"/>
          </w:tcPr>
          <w:p>
            <w:r>
              <w:rPr>
                <w:rFonts w:ascii="Calibri" w:hAnsi="Calibri"/>
                <w:sz w:val="22"/>
              </w:rPr>
              <w:t>+4.5%</w:t>
            </w:r>
          </w:p>
        </w:tc>
        <w:tc>
          <w:tcPr>
            <w:tcW w:type="dxa" w:w="1234"/>
          </w:tcPr>
          <w:p>
            <w:r>
              <w:rPr>
                <w:rFonts w:ascii="Calibri" w:hAnsi="Calibri"/>
                <w:sz w:val="22"/>
              </w:rPr>
              <w:t>+4.5%</w:t>
            </w:r>
          </w:p>
        </w:tc>
        <w:tc>
          <w:tcPr>
            <w:tcW w:type="dxa" w:w="1234"/>
          </w:tcPr>
          <w:p>
            <w:r>
              <w:rPr>
                <w:rFonts w:ascii="Calibri" w:hAnsi="Calibri"/>
                <w:sz w:val="22"/>
              </w:rPr>
              <w:t>+4.8%</w:t>
            </w:r>
          </w:p>
        </w:tc>
        <w:tc>
          <w:tcPr>
            <w:tcW w:type="dxa" w:w="1234"/>
          </w:tcPr>
          <w:p>
            <w:r>
              <w:rPr>
                <w:rFonts w:ascii="Calibri" w:hAnsi="Calibri"/>
                <w:sz w:val="22"/>
              </w:rPr>
              <w:t>+30 bps vs. Q2 2025</w:t>
            </w:r>
          </w:p>
        </w:tc>
        <w:tc>
          <w:tcPr>
            <w:tcW w:type="dxa" w:w="1234"/>
          </w:tcPr>
          <w:p>
            <w:r>
              <w:rPr>
                <w:rFonts w:ascii="Calibri" w:hAnsi="Calibri"/>
                <w:sz w:val="22"/>
              </w:rPr>
              <w:t>N/A (segment)</w:t>
            </w:r>
          </w:p>
        </w:tc>
        <w:tc>
          <w:tcPr>
            <w:tcW w:type="dxa" w:w="1234"/>
          </w:tcPr>
          <w:p>
            <w:r>
              <w:rPr>
                <w:rFonts w:ascii="Calibri" w:hAnsi="Calibri"/>
                <w:sz w:val="22"/>
              </w:rPr>
              <w:t>N/A</w:t>
            </w:r>
          </w:p>
        </w:tc>
      </w:tr>
      <w:tr>
        <w:tc>
          <w:tcPr>
            <w:tcW w:type="dxa" w:w="1234"/>
          </w:tcPr>
          <w:p>
            <w:r>
              <w:rPr>
                <w:rFonts w:ascii="Calibri" w:hAnsi="Calibri"/>
                <w:sz w:val="22"/>
              </w:rPr>
              <w:t>Organic Revenue Growth — International (%)</w:t>
            </w:r>
          </w:p>
        </w:tc>
        <w:tc>
          <w:tcPr>
            <w:tcW w:type="dxa" w:w="1234"/>
          </w:tcPr>
          <w:p>
            <w:r>
              <w:rPr>
                <w:rFonts w:ascii="Calibri" w:hAnsi="Calibri"/>
                <w:sz w:val="22"/>
              </w:rPr>
              <w:t>-5.3%</w:t>
            </w:r>
          </w:p>
        </w:tc>
        <w:tc>
          <w:tcPr>
            <w:tcW w:type="dxa" w:w="1234"/>
          </w:tcPr>
          <w:p>
            <w:r>
              <w:rPr>
                <w:rFonts w:ascii="Calibri" w:hAnsi="Calibri"/>
                <w:sz w:val="22"/>
              </w:rPr>
              <w:t>-2.2%</w:t>
            </w:r>
          </w:p>
        </w:tc>
        <w:tc>
          <w:tcPr>
            <w:tcW w:type="dxa" w:w="1234"/>
          </w:tcPr>
          <w:p>
            <w:r>
              <w:rPr>
                <w:rFonts w:ascii="Calibri" w:hAnsi="Calibri"/>
                <w:sz w:val="22"/>
              </w:rPr>
              <w:t>-0.9%</w:t>
            </w:r>
          </w:p>
        </w:tc>
        <w:tc>
          <w:tcPr>
            <w:tcW w:type="dxa" w:w="1234"/>
          </w:tcPr>
          <w:p>
            <w:r>
              <w:rPr>
                <w:rFonts w:ascii="Calibri" w:hAnsi="Calibri"/>
                <w:sz w:val="22"/>
              </w:rPr>
              <w:t>Improvement from -5.3% in Q1</w:t>
            </w:r>
          </w:p>
        </w:tc>
        <w:tc>
          <w:tcPr>
            <w:tcW w:type="dxa" w:w="1234"/>
          </w:tcPr>
          <w:p>
            <w:r>
              <w:rPr>
                <w:rFonts w:ascii="Calibri" w:hAnsi="Calibri"/>
                <w:sz w:val="22"/>
              </w:rPr>
              <w:t>N/A (segment)</w:t>
            </w:r>
          </w:p>
        </w:tc>
        <w:tc>
          <w:tcPr>
            <w:tcW w:type="dxa" w:w="1234"/>
          </w:tcPr>
          <w:p>
            <w:r>
              <w:rPr>
                <w:rFonts w:ascii="Calibri" w:hAnsi="Calibri"/>
                <w:sz w:val="22"/>
              </w:rPr>
              <w:t>N/A</w:t>
            </w:r>
          </w:p>
        </w:tc>
      </w:tr>
      <w:tr>
        <w:tc>
          <w:tcPr>
            <w:tcW w:type="dxa" w:w="1234"/>
          </w:tcPr>
          <w:p>
            <w:r>
              <w:rPr>
                <w:rFonts w:ascii="Calibri" w:hAnsi="Calibri"/>
                <w:sz w:val="22"/>
              </w:rPr>
              <w:t>Adj. EPS — Diluted Operating ($)</w:t>
            </w:r>
          </w:p>
        </w:tc>
        <w:tc>
          <w:tcPr>
            <w:tcW w:type="dxa" w:w="1234"/>
          </w:tcPr>
          <w:p>
            <w:r>
              <w:rPr>
                <w:rFonts w:ascii="Calibri" w:hAnsi="Calibri"/>
                <w:sz w:val="22"/>
              </w:rPr>
              <w:t>$1.80</w:t>
            </w:r>
          </w:p>
        </w:tc>
        <w:tc>
          <w:tcPr>
            <w:tcW w:type="dxa" w:w="1234"/>
          </w:tcPr>
          <w:p>
            <w:r>
              <w:rPr>
                <w:rFonts w:ascii="Calibri" w:hAnsi="Calibri"/>
                <w:sz w:val="22"/>
              </w:rPr>
              <w:t>$2.04</w:t>
            </w:r>
          </w:p>
        </w:tc>
        <w:tc>
          <w:tcPr>
            <w:tcW w:type="dxa" w:w="1234"/>
          </w:tcPr>
          <w:p>
            <w:r>
              <w:rPr>
                <w:rFonts w:ascii="Calibri" w:hAnsi="Calibri"/>
                <w:sz w:val="22"/>
              </w:rPr>
              <w:t>$2.21</w:t>
            </w:r>
          </w:p>
        </w:tc>
        <w:tc>
          <w:tcPr>
            <w:tcW w:type="dxa" w:w="1234"/>
          </w:tcPr>
          <w:p>
            <w:r>
              <w:rPr>
                <w:rFonts w:ascii="Calibri" w:hAnsi="Calibri"/>
                <w:sz w:val="22"/>
              </w:rPr>
              <w:t>+8.3%</w:t>
            </w:r>
          </w:p>
        </w:tc>
        <w:tc>
          <w:tcPr>
            <w:tcW w:type="dxa" w:w="1234"/>
          </w:tcPr>
          <w:p>
            <w:r>
              <w:rPr>
                <w:rFonts w:ascii="Calibri" w:hAnsi="Calibri"/>
                <w:sz w:val="22"/>
              </w:rPr>
              <w:t>$8.70–$8.90</w:t>
            </w:r>
          </w:p>
        </w:tc>
        <w:tc>
          <w:tcPr>
            <w:tcW w:type="dxa" w:w="1234"/>
          </w:tcPr>
          <w:p>
            <w:r>
              <w:rPr>
                <w:rFonts w:ascii="Calibri" w:hAnsi="Calibri"/>
                <w:sz w:val="22"/>
              </w:rPr>
              <w:t>~+2.5% above midpoint</w:t>
            </w:r>
          </w:p>
        </w:tc>
      </w:tr>
      <w:tr>
        <w:tc>
          <w:tcPr>
            <w:tcW w:type="dxa" w:w="1234"/>
          </w:tcPr>
          <w:p>
            <w:r>
              <w:rPr>
                <w:rFonts w:ascii="Calibri" w:hAnsi="Calibri"/>
                <w:sz w:val="22"/>
              </w:rPr>
              <w:t>EBITA Margin — Operating (%)</w:t>
            </w:r>
          </w:p>
        </w:tc>
        <w:tc>
          <w:tcPr>
            <w:tcW w:type="dxa" w:w="1234"/>
          </w:tcPr>
          <w:p>
            <w:r>
              <w:rPr>
                <w:rFonts w:ascii="Calibri" w:hAnsi="Calibri"/>
                <w:sz w:val="22"/>
              </w:rPr>
              <w:t>21.2%</w:t>
            </w:r>
          </w:p>
        </w:tc>
        <w:tc>
          <w:tcPr>
            <w:tcW w:type="dxa" w:w="1234"/>
          </w:tcPr>
          <w:p>
            <w:r>
              <w:rPr>
                <w:rFonts w:ascii="Calibri" w:hAnsi="Calibri"/>
                <w:sz w:val="22"/>
              </w:rPr>
              <w:t>23.7%</w:t>
            </w:r>
          </w:p>
        </w:tc>
        <w:tc>
          <w:tcPr>
            <w:tcW w:type="dxa" w:w="1234"/>
          </w:tcPr>
          <w:p>
            <w:r>
              <w:rPr>
                <w:rFonts w:ascii="Calibri" w:hAnsi="Calibri"/>
                <w:sz w:val="22"/>
              </w:rPr>
              <w:t>23.4%</w:t>
            </w:r>
          </w:p>
        </w:tc>
        <w:tc>
          <w:tcPr>
            <w:tcW w:type="dxa" w:w="1234"/>
          </w:tcPr>
          <w:p>
            <w:r>
              <w:rPr>
                <w:rFonts w:ascii="Calibri" w:hAnsi="Calibri"/>
                <w:sz w:val="22"/>
              </w:rPr>
              <w:t>-30 bps vs. Q2 2025</w:t>
            </w:r>
          </w:p>
        </w:tc>
        <w:tc>
          <w:tcPr>
            <w:tcW w:type="dxa" w:w="1234"/>
          </w:tcPr>
          <w:p>
            <w:r>
              <w:rPr>
                <w:rFonts w:ascii="Calibri" w:hAnsi="Calibri"/>
                <w:sz w:val="22"/>
              </w:rPr>
              <w:t>N/A (FY metric)</w:t>
            </w:r>
          </w:p>
        </w:tc>
        <w:tc>
          <w:tcPr>
            <w:tcW w:type="dxa" w:w="1234"/>
          </w:tcPr>
          <w:p>
            <w:r>
              <w:rPr>
                <w:rFonts w:ascii="Calibri" w:hAnsi="Calibri"/>
                <w:sz w:val="22"/>
              </w:rPr>
              <w:t>N/A</w:t>
            </w:r>
          </w:p>
        </w:tc>
      </w:tr>
      <w:tr>
        <w:tc>
          <w:tcPr>
            <w:tcW w:type="dxa" w:w="1234"/>
          </w:tcPr>
          <w:p>
            <w:r>
              <w:rPr>
                <w:rFonts w:ascii="Calibri" w:hAnsi="Calibri"/>
                <w:sz w:val="22"/>
              </w:rPr>
              <w:t>Americas EBITA Margin — Operating (%)</w:t>
            </w:r>
          </w:p>
        </w:tc>
        <w:tc>
          <w:tcPr>
            <w:tcW w:type="dxa" w:w="1234"/>
          </w:tcPr>
          <w:p>
            <w:r>
              <w:rPr>
                <w:rFonts w:ascii="Calibri" w:hAnsi="Calibri"/>
                <w:sz w:val="22"/>
              </w:rPr>
              <w:t>28.1%</w:t>
            </w:r>
          </w:p>
        </w:tc>
        <w:tc>
          <w:tcPr>
            <w:tcW w:type="dxa" w:w="1234"/>
          </w:tcPr>
          <w:p>
            <w:r>
              <w:rPr>
                <w:rFonts w:ascii="Calibri" w:hAnsi="Calibri"/>
                <w:sz w:val="22"/>
              </w:rPr>
              <w:t>29.9%</w:t>
            </w:r>
          </w:p>
        </w:tc>
        <w:tc>
          <w:tcPr>
            <w:tcW w:type="dxa" w:w="1234"/>
          </w:tcPr>
          <w:p>
            <w:r>
              <w:rPr>
                <w:rFonts w:ascii="Calibri" w:hAnsi="Calibri"/>
                <w:sz w:val="22"/>
              </w:rPr>
              <w:t>29.7%</w:t>
            </w:r>
          </w:p>
        </w:tc>
        <w:tc>
          <w:tcPr>
            <w:tcW w:type="dxa" w:w="1234"/>
          </w:tcPr>
          <w:p>
            <w:r>
              <w:rPr>
                <w:rFonts w:ascii="Calibri" w:hAnsi="Calibri"/>
                <w:sz w:val="22"/>
              </w:rPr>
              <w:t>-20 bps vs. Q2 2025</w:t>
            </w:r>
          </w:p>
        </w:tc>
        <w:tc>
          <w:tcPr>
            <w:tcW w:type="dxa" w:w="1234"/>
          </w:tcPr>
          <w:p>
            <w:r>
              <w:rPr>
                <w:rFonts w:ascii="Calibri" w:hAnsi="Calibri"/>
                <w:sz w:val="22"/>
              </w:rPr>
              <w:t>N/A (segment)</w:t>
            </w:r>
          </w:p>
        </w:tc>
        <w:tc>
          <w:tcPr>
            <w:tcW w:type="dxa" w:w="1234"/>
          </w:tcPr>
          <w:p>
            <w:r>
              <w:rPr>
                <w:rFonts w:ascii="Calibri" w:hAnsi="Calibri"/>
                <w:sz w:val="22"/>
              </w:rPr>
              <w:t>N/A</w:t>
            </w:r>
          </w:p>
        </w:tc>
      </w:tr>
      <w:tr>
        <w:tc>
          <w:tcPr>
            <w:tcW w:type="dxa" w:w="1234"/>
          </w:tcPr>
          <w:p>
            <w:r>
              <w:rPr>
                <w:rFonts w:ascii="Calibri" w:hAnsi="Calibri"/>
                <w:sz w:val="22"/>
              </w:rPr>
              <w:t>International EBITA Margin — Operating (%)</w:t>
            </w:r>
          </w:p>
        </w:tc>
        <w:tc>
          <w:tcPr>
            <w:tcW w:type="dxa" w:w="1234"/>
          </w:tcPr>
          <w:p>
            <w:r>
              <w:rPr>
                <w:rFonts w:ascii="Calibri" w:hAnsi="Calibri"/>
                <w:sz w:val="22"/>
              </w:rPr>
              <w:t>8.0%</w:t>
            </w:r>
          </w:p>
        </w:tc>
        <w:tc>
          <w:tcPr>
            <w:tcW w:type="dxa" w:w="1234"/>
          </w:tcPr>
          <w:p>
            <w:r>
              <w:rPr>
                <w:rFonts w:ascii="Calibri" w:hAnsi="Calibri"/>
                <w:sz w:val="22"/>
              </w:rPr>
              <w:t>13.1%</w:t>
            </w:r>
          </w:p>
        </w:tc>
        <w:tc>
          <w:tcPr>
            <w:tcW w:type="dxa" w:w="1234"/>
          </w:tcPr>
          <w:p>
            <w:r>
              <w:rPr>
                <w:rFonts w:ascii="Calibri" w:hAnsi="Calibri"/>
                <w:sz w:val="22"/>
              </w:rPr>
              <w:t>11.2%</w:t>
            </w:r>
          </w:p>
        </w:tc>
        <w:tc>
          <w:tcPr>
            <w:tcW w:type="dxa" w:w="1234"/>
          </w:tcPr>
          <w:p>
            <w:r>
              <w:rPr>
                <w:rFonts w:ascii="Calibri" w:hAnsi="Calibri"/>
                <w:sz w:val="22"/>
              </w:rPr>
              <w:t>-190 bps vs. Q2 2025</w:t>
            </w:r>
          </w:p>
        </w:tc>
        <w:tc>
          <w:tcPr>
            <w:tcW w:type="dxa" w:w="1234"/>
          </w:tcPr>
          <w:p>
            <w:r>
              <w:rPr>
                <w:rFonts w:ascii="Calibri" w:hAnsi="Calibri"/>
                <w:sz w:val="22"/>
              </w:rPr>
              <w:t>N/A (segment)</w:t>
            </w:r>
          </w:p>
        </w:tc>
        <w:tc>
          <w:tcPr>
            <w:tcW w:type="dxa" w:w="1234"/>
          </w:tcPr>
          <w:p>
            <w:r>
              <w:rPr>
                <w:rFonts w:ascii="Calibri" w:hAnsi="Calibri"/>
                <w:sz w:val="22"/>
              </w:rPr>
              <w:t>N/A</w:t>
            </w:r>
          </w:p>
        </w:tc>
      </w:tr>
      <w:tr>
        <w:tc>
          <w:tcPr>
            <w:tcW w:type="dxa" w:w="1234"/>
          </w:tcPr>
          <w:p>
            <w:r>
              <w:rPr>
                <w:rFonts w:ascii="Calibri" w:hAnsi="Calibri"/>
                <w:sz w:val="22"/>
              </w:rPr>
              <w:t>Free Cash Flow ($M)</w:t>
            </w:r>
          </w:p>
        </w:tc>
        <w:tc>
          <w:tcPr>
            <w:tcW w:type="dxa" w:w="1234"/>
          </w:tcPr>
          <w:p>
            <w:r>
              <w:rPr>
                <w:rFonts w:ascii="Calibri" w:hAnsi="Calibri"/>
                <w:sz w:val="22"/>
              </w:rPr>
              <w:t>$80.3M</w:t>
            </w:r>
          </w:p>
        </w:tc>
        <w:tc>
          <w:tcPr>
            <w:tcW w:type="dxa" w:w="1234"/>
          </w:tcPr>
          <w:p>
            <w:r>
              <w:rPr>
                <w:rFonts w:ascii="Calibri" w:hAnsi="Calibri"/>
                <w:sz w:val="22"/>
              </w:rPr>
              <w:t>$192.0M</w:t>
            </w:r>
          </w:p>
        </w:tc>
        <w:tc>
          <w:tcPr>
            <w:tcW w:type="dxa" w:w="1234"/>
          </w:tcPr>
          <w:p>
            <w:r>
              <w:rPr>
                <w:rFonts w:ascii="Calibri" w:hAnsi="Calibri"/>
                <w:sz w:val="22"/>
              </w:rPr>
              <w:t>$195.0M</w:t>
            </w:r>
          </w:p>
        </w:tc>
        <w:tc>
          <w:tcPr>
            <w:tcW w:type="dxa" w:w="1234"/>
          </w:tcPr>
          <w:p>
            <w:r>
              <w:rPr>
                <w:rFonts w:ascii="Calibri" w:hAnsi="Calibri"/>
                <w:sz w:val="22"/>
              </w:rPr>
              <w:t>+1.6%</w:t>
            </w:r>
          </w:p>
        </w:tc>
        <w:tc>
          <w:tcPr>
            <w:tcW w:type="dxa" w:w="1234"/>
          </w:tcPr>
          <w:p>
            <w:r>
              <w:rPr>
                <w:rFonts w:ascii="Calibri" w:hAnsi="Calibri"/>
                <w:sz w:val="22"/>
              </w:rPr>
              <w:t>85–95% of adj. net income</w:t>
            </w:r>
          </w:p>
        </w:tc>
        <w:tc>
          <w:tcPr>
            <w:tcW w:type="dxa" w:w="1234"/>
          </w:tcPr>
          <w:p>
            <w:r>
              <w:rPr>
                <w:rFonts w:ascii="Calibri" w:hAnsi="Calibri"/>
                <w:sz w:val="22"/>
              </w:rPr>
              <w:t>N/A</w:t>
            </w:r>
          </w:p>
        </w:tc>
      </w:tr>
    </w:tbl>
    <w:p>
      <w:r>
        <w:rPr>
          <w:rFonts w:ascii="Calibri" w:hAnsi="Calibri"/>
          <w:i/>
          <w:color w:val="525866"/>
          <w:sz w:val="22"/>
        </w:rPr>
        <w:t>Source: Visible Alpha Consensus and Actuals Data. Q1 2026 actuals from ALLE Q1 2026 Earnings Release (April 28, 2026). FY 2026 guidance from Q1 2026 earnings call. All consensus figures as of July 22, 2026.</w:t>
      </w:r>
    </w:p>
    <w:p>
      <w:pPr>
        <w:pStyle w:val="Heading3"/>
      </w:pPr>
      <w:r>
        <w:rPr>
          <w:rFonts w:ascii="Calibri" w:hAnsi="Calibri"/>
          <w:b/>
          <w:color w:val="3B4259"/>
          <w:sz w:val="24"/>
        </w:rPr>
        <w:t>Table 2 — Beat/Miss History (Last 8 Quarters)</w:t>
      </w:r>
    </w:p>
    <w:p>
      <w:pPr>
        <w:pStyle w:val="Heading4"/>
      </w:pPr>
      <w:r>
        <w:rPr>
          <w:rFonts w:ascii="Calibri" w:hAnsi="Calibri"/>
          <w:b/>
          <w:color w:val="3B4259"/>
          <w:sz w:val="22"/>
        </w:rPr>
        <w:t>Top KPI #1: Total Revenue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$965.6M</w:t>
            </w:r>
          </w:p>
        </w:tc>
        <w:tc>
          <w:tcPr>
            <w:tcW w:type="dxa" w:w="1728"/>
          </w:tcPr>
          <w:p>
            <w:r>
              <w:rPr>
                <w:rFonts w:ascii="Calibri" w:hAnsi="Calibri"/>
                <w:sz w:val="22"/>
              </w:rPr>
              <w:t>$957.9M</w:t>
            </w:r>
          </w:p>
        </w:tc>
        <w:tc>
          <w:tcPr>
            <w:tcW w:type="dxa" w:w="1728"/>
          </w:tcPr>
          <w:p>
            <w:r>
              <w:rPr>
                <w:rFonts w:ascii="Calibri" w:hAnsi="Calibri"/>
                <w:sz w:val="22"/>
              </w:rPr>
              <w:t>+0.8%</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$967.1M</w:t>
            </w:r>
          </w:p>
        </w:tc>
        <w:tc>
          <w:tcPr>
            <w:tcW w:type="dxa" w:w="1728"/>
          </w:tcPr>
          <w:p>
            <w:r>
              <w:rPr>
                <w:rFonts w:ascii="Calibri" w:hAnsi="Calibri"/>
                <w:sz w:val="22"/>
              </w:rPr>
              <w:t>$968.9M</w:t>
            </w:r>
          </w:p>
        </w:tc>
        <w:tc>
          <w:tcPr>
            <w:tcW w:type="dxa" w:w="1728"/>
          </w:tcPr>
          <w:p>
            <w:r>
              <w:rPr>
                <w:rFonts w:ascii="Calibri" w:hAnsi="Calibri"/>
                <w:sz w:val="22"/>
              </w:rPr>
              <w:t>-0.2%</w:t>
            </w:r>
          </w:p>
        </w:tc>
        <w:tc>
          <w:tcPr>
            <w:tcW w:type="dxa" w:w="1728"/>
          </w:tcPr>
          <w:p>
            <w:r>
              <w:rPr>
                <w:rFonts w:ascii="Calibri" w:hAnsi="Calibri"/>
                <w:b/>
                <w:color w:val="E5484D"/>
                <w:sz w:val="22"/>
              </w:rPr>
              <w:t>Miss</w:t>
            </w:r>
          </w:p>
        </w:tc>
      </w:tr>
      <w:tr>
        <w:tc>
          <w:tcPr>
            <w:tcW w:type="dxa" w:w="1728"/>
          </w:tcPr>
          <w:p>
            <w:r>
              <w:rPr>
                <w:rFonts w:ascii="Calibri" w:hAnsi="Calibri"/>
                <w:sz w:val="22"/>
              </w:rPr>
              <w:t>Q4 2024</w:t>
            </w:r>
          </w:p>
        </w:tc>
        <w:tc>
          <w:tcPr>
            <w:tcW w:type="dxa" w:w="1728"/>
          </w:tcPr>
          <w:p>
            <w:r>
              <w:rPr>
                <w:rFonts w:ascii="Calibri" w:hAnsi="Calibri"/>
                <w:sz w:val="22"/>
              </w:rPr>
              <w:t>$945.6M</w:t>
            </w:r>
          </w:p>
        </w:tc>
        <w:tc>
          <w:tcPr>
            <w:tcW w:type="dxa" w:w="1728"/>
          </w:tcPr>
          <w:p>
            <w:r>
              <w:rPr>
                <w:rFonts w:ascii="Calibri" w:hAnsi="Calibri"/>
                <w:sz w:val="22"/>
              </w:rPr>
              <w:t>$937.9M</w:t>
            </w:r>
          </w:p>
        </w:tc>
        <w:tc>
          <w:tcPr>
            <w:tcW w:type="dxa" w:w="1728"/>
          </w:tcPr>
          <w:p>
            <w:r>
              <w:rPr>
                <w:rFonts w:ascii="Calibri" w:hAnsi="Calibri"/>
                <w:sz w:val="22"/>
              </w:rPr>
              <w:t>+0.8%</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$941.9M</w:t>
            </w:r>
          </w:p>
        </w:tc>
        <w:tc>
          <w:tcPr>
            <w:tcW w:type="dxa" w:w="1728"/>
          </w:tcPr>
          <w:p>
            <w:r>
              <w:rPr>
                <w:rFonts w:ascii="Calibri" w:hAnsi="Calibri"/>
                <w:sz w:val="22"/>
              </w:rPr>
              <w:t>$923.1M</w:t>
            </w:r>
          </w:p>
        </w:tc>
        <w:tc>
          <w:tcPr>
            <w:tcW w:type="dxa" w:w="1728"/>
          </w:tcPr>
          <w:p>
            <w:r>
              <w:rPr>
                <w:rFonts w:ascii="Calibri" w:hAnsi="Calibri"/>
                <w:sz w:val="22"/>
              </w:rPr>
              <w:t>+2.0%</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$1,022.0M</w:t>
            </w:r>
          </w:p>
        </w:tc>
        <w:tc>
          <w:tcPr>
            <w:tcW w:type="dxa" w:w="1728"/>
          </w:tcPr>
          <w:p>
            <w:r>
              <w:rPr>
                <w:rFonts w:ascii="Calibri" w:hAnsi="Calibri"/>
                <w:sz w:val="22"/>
              </w:rPr>
              <w:t>$1,007.0M</w:t>
            </w:r>
          </w:p>
        </w:tc>
        <w:tc>
          <w:tcPr>
            <w:tcW w:type="dxa" w:w="1728"/>
          </w:tcPr>
          <w:p>
            <w:r>
              <w:rPr>
                <w:rFonts w:ascii="Calibri" w:hAnsi="Calibri"/>
                <w:sz w:val="22"/>
              </w:rPr>
              <w:t>+1.5%</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$1,070.2M</w:t>
            </w:r>
          </w:p>
        </w:tc>
        <w:tc>
          <w:tcPr>
            <w:tcW w:type="dxa" w:w="1728"/>
          </w:tcPr>
          <w:p>
            <w:r>
              <w:rPr>
                <w:rFonts w:ascii="Calibri" w:hAnsi="Calibri"/>
                <w:sz w:val="22"/>
              </w:rPr>
              <w:t>$1,044.0M</w:t>
            </w:r>
          </w:p>
        </w:tc>
        <w:tc>
          <w:tcPr>
            <w:tcW w:type="dxa" w:w="1728"/>
          </w:tcPr>
          <w:p>
            <w:r>
              <w:rPr>
                <w:rFonts w:ascii="Calibri" w:hAnsi="Calibri"/>
                <w:sz w:val="22"/>
              </w:rPr>
              <w:t>+2.5%</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$1,033.2M</w:t>
            </w:r>
          </w:p>
        </w:tc>
        <w:tc>
          <w:tcPr>
            <w:tcW w:type="dxa" w:w="1728"/>
          </w:tcPr>
          <w:p>
            <w:r>
              <w:rPr>
                <w:rFonts w:ascii="Calibri" w:hAnsi="Calibri"/>
                <w:sz w:val="22"/>
              </w:rPr>
              <w:t>$1,035.9M</w:t>
            </w:r>
          </w:p>
        </w:tc>
        <w:tc>
          <w:tcPr>
            <w:tcW w:type="dxa" w:w="1728"/>
          </w:tcPr>
          <w:p>
            <w:r>
              <w:rPr>
                <w:rFonts w:ascii="Calibri" w:hAnsi="Calibri"/>
                <w:sz w:val="22"/>
              </w:rPr>
              <w:t>-0.3%</w:t>
            </w:r>
          </w:p>
        </w:tc>
        <w:tc>
          <w:tcPr>
            <w:tcW w:type="dxa" w:w="1728"/>
          </w:tcPr>
          <w:p>
            <w:r>
              <w:rPr>
                <w:rFonts w:ascii="Calibri" w:hAnsi="Calibri"/>
                <w:b/>
                <w:color w:val="E5484D"/>
                <w:sz w:val="22"/>
              </w:rPr>
              <w:t>Miss</w:t>
            </w:r>
          </w:p>
        </w:tc>
      </w:tr>
      <w:tr>
        <w:tc>
          <w:tcPr>
            <w:tcW w:type="dxa" w:w="1728"/>
          </w:tcPr>
          <w:p>
            <w:r>
              <w:rPr>
                <w:rFonts w:ascii="Calibri" w:hAnsi="Calibri"/>
                <w:sz w:val="22"/>
              </w:rPr>
              <w:t>Q1 2026</w:t>
            </w:r>
          </w:p>
        </w:tc>
        <w:tc>
          <w:tcPr>
            <w:tcW w:type="dxa" w:w="1728"/>
          </w:tcPr>
          <w:p>
            <w:r>
              <w:rPr>
                <w:rFonts w:ascii="Calibri" w:hAnsi="Calibri"/>
                <w:sz w:val="22"/>
              </w:rPr>
              <w:t>$1,033.6M</w:t>
            </w:r>
          </w:p>
        </w:tc>
        <w:tc>
          <w:tcPr>
            <w:tcW w:type="dxa" w:w="1728"/>
          </w:tcPr>
          <w:p>
            <w:r>
              <w:rPr>
                <w:rFonts w:ascii="Calibri" w:hAnsi="Calibri"/>
                <w:sz w:val="22"/>
              </w:rPr>
              <w:t>$1,025.2M</w:t>
            </w:r>
          </w:p>
        </w:tc>
        <w:tc>
          <w:tcPr>
            <w:tcW w:type="dxa" w:w="1728"/>
          </w:tcPr>
          <w:p>
            <w:r>
              <w:rPr>
                <w:rFonts w:ascii="Calibri" w:hAnsi="Calibri"/>
                <w:sz w:val="22"/>
              </w:rPr>
              <w:t>+0.8%</w:t>
            </w:r>
          </w:p>
        </w:tc>
        <w:tc>
          <w:tcPr>
            <w:tcW w:type="dxa" w:w="1728"/>
          </w:tcPr>
          <w:p>
            <w:r>
              <w:rPr>
                <w:rFonts w:ascii="Calibri" w:hAnsi="Calibri"/>
                <w:b/>
                <w:color w:val="30A46C"/>
                <w:sz w:val="22"/>
              </w:rPr>
              <w:t>Beat</w:t>
            </w:r>
          </w:p>
        </w:tc>
      </w:tr>
    </w:tbl>
    <w:p>
      <w:r>
        <w:rPr>
          <w:rFonts w:ascii="Calibri" w:hAnsi="Calibri"/>
          <w:i/>
          <w:color w:val="525866"/>
          <w:sz w:val="22"/>
        </w:rPr>
        <w:t>Pattern: ALLE has beaten revenue consensus in 6 of the last 8 quarters, with misses concentrated in Q3 2024 and Q4 2025 (both within -0.3%). Revenue beats have been consistent and modest, suggesting consensus tends to be set slightly below achievable levels.</w:t>
      </w:r>
    </w:p>
    <w:p>
      <w:pPr>
        <w:pStyle w:val="Heading4"/>
      </w:pPr>
      <w:r>
        <w:rPr>
          <w:rFonts w:ascii="Calibri" w:hAnsi="Calibri"/>
          <w:b/>
          <w:color w:val="3B4259"/>
          <w:sz w:val="22"/>
        </w:rPr>
        <w:t>Top KPI #2: Adjusted EPS — Diluted Operating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$1.96</w:t>
            </w:r>
          </w:p>
        </w:tc>
        <w:tc>
          <w:tcPr>
            <w:tcW w:type="dxa" w:w="1728"/>
          </w:tcPr>
          <w:p>
            <w:r>
              <w:rPr>
                <w:rFonts w:ascii="Calibri" w:hAnsi="Calibri"/>
                <w:sz w:val="22"/>
              </w:rPr>
              <w:t>$1.83</w:t>
            </w:r>
          </w:p>
        </w:tc>
        <w:tc>
          <w:tcPr>
            <w:tcW w:type="dxa" w:w="1728"/>
          </w:tcPr>
          <w:p>
            <w:r>
              <w:rPr>
                <w:rFonts w:ascii="Calibri" w:hAnsi="Calibri"/>
                <w:sz w:val="22"/>
              </w:rPr>
              <w:t>+7.1%</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$2.16</w:t>
            </w:r>
          </w:p>
        </w:tc>
        <w:tc>
          <w:tcPr>
            <w:tcW w:type="dxa" w:w="1728"/>
          </w:tcPr>
          <w:p>
            <w:r>
              <w:rPr>
                <w:rFonts w:ascii="Calibri" w:hAnsi="Calibri"/>
                <w:sz w:val="22"/>
              </w:rPr>
              <w:t>$1.98</w:t>
            </w:r>
          </w:p>
        </w:tc>
        <w:tc>
          <w:tcPr>
            <w:tcW w:type="dxa" w:w="1728"/>
          </w:tcPr>
          <w:p>
            <w:r>
              <w:rPr>
                <w:rFonts w:ascii="Calibri" w:hAnsi="Calibri"/>
                <w:sz w:val="22"/>
              </w:rPr>
              <w:t>+9.1%</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$1.86</w:t>
            </w:r>
          </w:p>
        </w:tc>
        <w:tc>
          <w:tcPr>
            <w:tcW w:type="dxa" w:w="1728"/>
          </w:tcPr>
          <w:p>
            <w:r>
              <w:rPr>
                <w:rFonts w:ascii="Calibri" w:hAnsi="Calibri"/>
                <w:sz w:val="22"/>
              </w:rPr>
              <w:t>$1.76</w:t>
            </w:r>
          </w:p>
        </w:tc>
        <w:tc>
          <w:tcPr>
            <w:tcW w:type="dxa" w:w="1728"/>
          </w:tcPr>
          <w:p>
            <w:r>
              <w:rPr>
                <w:rFonts w:ascii="Calibri" w:hAnsi="Calibri"/>
                <w:sz w:val="22"/>
              </w:rPr>
              <w:t>+5.7%</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$1.86</w:t>
            </w:r>
          </w:p>
        </w:tc>
        <w:tc>
          <w:tcPr>
            <w:tcW w:type="dxa" w:w="1728"/>
          </w:tcPr>
          <w:p>
            <w:r>
              <w:rPr>
                <w:rFonts w:ascii="Calibri" w:hAnsi="Calibri"/>
                <w:sz w:val="22"/>
              </w:rPr>
              <w:t>$1.67</w:t>
            </w:r>
          </w:p>
        </w:tc>
        <w:tc>
          <w:tcPr>
            <w:tcW w:type="dxa" w:w="1728"/>
          </w:tcPr>
          <w:p>
            <w:r>
              <w:rPr>
                <w:rFonts w:ascii="Calibri" w:hAnsi="Calibri"/>
                <w:sz w:val="22"/>
              </w:rPr>
              <w:t>+11.4%</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$2.04</w:t>
            </w:r>
          </w:p>
        </w:tc>
        <w:tc>
          <w:tcPr>
            <w:tcW w:type="dxa" w:w="1728"/>
          </w:tcPr>
          <w:p>
            <w:r>
              <w:rPr>
                <w:rFonts w:ascii="Calibri" w:hAnsi="Calibri"/>
                <w:sz w:val="22"/>
              </w:rPr>
              <w:t>$1.99</w:t>
            </w:r>
          </w:p>
        </w:tc>
        <w:tc>
          <w:tcPr>
            <w:tcW w:type="dxa" w:w="1728"/>
          </w:tcPr>
          <w:p>
            <w:r>
              <w:rPr>
                <w:rFonts w:ascii="Calibri" w:hAnsi="Calibri"/>
                <w:sz w:val="22"/>
              </w:rPr>
              <w:t>+2.5%</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$2.30</w:t>
            </w:r>
          </w:p>
        </w:tc>
        <w:tc>
          <w:tcPr>
            <w:tcW w:type="dxa" w:w="1728"/>
          </w:tcPr>
          <w:p>
            <w:r>
              <w:rPr>
                <w:rFonts w:ascii="Calibri" w:hAnsi="Calibri"/>
                <w:sz w:val="22"/>
              </w:rPr>
              <w:t>$2.20</w:t>
            </w:r>
          </w:p>
        </w:tc>
        <w:tc>
          <w:tcPr>
            <w:tcW w:type="dxa" w:w="1728"/>
          </w:tcPr>
          <w:p>
            <w:r>
              <w:rPr>
                <w:rFonts w:ascii="Calibri" w:hAnsi="Calibri"/>
                <w:sz w:val="22"/>
              </w:rPr>
              <w:t>+4.5%</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$1.94</w:t>
            </w:r>
          </w:p>
        </w:tc>
        <w:tc>
          <w:tcPr>
            <w:tcW w:type="dxa" w:w="1728"/>
          </w:tcPr>
          <w:p>
            <w:r>
              <w:rPr>
                <w:rFonts w:ascii="Calibri" w:hAnsi="Calibri"/>
                <w:sz w:val="22"/>
              </w:rPr>
              <w:t>$1.98</w:t>
            </w:r>
          </w:p>
        </w:tc>
        <w:tc>
          <w:tcPr>
            <w:tcW w:type="dxa" w:w="1728"/>
          </w:tcPr>
          <w:p>
            <w:r>
              <w:rPr>
                <w:rFonts w:ascii="Calibri" w:hAnsi="Calibri"/>
                <w:sz w:val="22"/>
              </w:rPr>
              <w:t>-2.0%</w:t>
            </w:r>
          </w:p>
        </w:tc>
        <w:tc>
          <w:tcPr>
            <w:tcW w:type="dxa" w:w="1728"/>
          </w:tcPr>
          <w:p>
            <w:r>
              <w:rPr>
                <w:rFonts w:ascii="Calibri" w:hAnsi="Calibri"/>
                <w:b/>
                <w:color w:val="E5484D"/>
                <w:sz w:val="22"/>
              </w:rPr>
              <w:t>Miss</w:t>
            </w:r>
          </w:p>
        </w:tc>
      </w:tr>
      <w:tr>
        <w:tc>
          <w:tcPr>
            <w:tcW w:type="dxa" w:w="1728"/>
          </w:tcPr>
          <w:p>
            <w:r>
              <w:rPr>
                <w:rFonts w:ascii="Calibri" w:hAnsi="Calibri"/>
                <w:sz w:val="22"/>
              </w:rPr>
              <w:t>Q1 2026</w:t>
            </w:r>
          </w:p>
        </w:tc>
        <w:tc>
          <w:tcPr>
            <w:tcW w:type="dxa" w:w="1728"/>
          </w:tcPr>
          <w:p>
            <w:r>
              <w:rPr>
                <w:rFonts w:ascii="Calibri" w:hAnsi="Calibri"/>
                <w:sz w:val="22"/>
              </w:rPr>
              <w:t>$1.80</w:t>
            </w:r>
          </w:p>
        </w:tc>
        <w:tc>
          <w:tcPr>
            <w:tcW w:type="dxa" w:w="1728"/>
          </w:tcPr>
          <w:p>
            <w:r>
              <w:rPr>
                <w:rFonts w:ascii="Calibri" w:hAnsi="Calibri"/>
                <w:sz w:val="22"/>
              </w:rPr>
              <w:t>$1.88</w:t>
            </w:r>
          </w:p>
        </w:tc>
        <w:tc>
          <w:tcPr>
            <w:tcW w:type="dxa" w:w="1728"/>
          </w:tcPr>
          <w:p>
            <w:r>
              <w:rPr>
                <w:rFonts w:ascii="Calibri" w:hAnsi="Calibri"/>
                <w:sz w:val="22"/>
              </w:rPr>
              <w:t>-4.3%</w:t>
            </w:r>
          </w:p>
        </w:tc>
        <w:tc>
          <w:tcPr>
            <w:tcW w:type="dxa" w:w="1728"/>
          </w:tcPr>
          <w:p>
            <w:r>
              <w:rPr>
                <w:rFonts w:ascii="Calibri" w:hAnsi="Calibri"/>
                <w:b/>
                <w:color w:val="E5484D"/>
                <w:sz w:val="22"/>
              </w:rPr>
              <w:t>Miss</w:t>
            </w:r>
          </w:p>
        </w:tc>
      </w:tr>
    </w:tbl>
    <w:p>
      <w:r>
        <w:rPr>
          <w:rFonts w:ascii="Calibri" w:hAnsi="Calibri"/>
          <w:i/>
          <w:color w:val="525866"/>
          <w:sz w:val="22"/>
        </w:rPr>
        <w:t>Pattern: ALLE beat adjusted EPS consensus in 6 of the last 8 quarters, often by wide margins (7–11%), but the last two quarters (Q4 2025 and Q1 2026) were misses driven by acquisition dilution, higher taxes/interest, and the International ERP disruption. The Q2 2026 bar of $2.21 requires a meaningful step-up from Q1’s $1.80, consistent with management’s guidance for a back-half-weighted year.</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has been stable since Q1 earnings with one upward revision to reported revenue (to include the DCI acquisition). Management tone has shifted from cautious to </w:t>
      </w:r>
      <w:r>
        <w:rPr>
          <w:rFonts w:ascii="Calibri" w:hAnsi="Calibri"/>
          <w:b/>
          <w:color w:val="525866"/>
          <w:sz w:val="22"/>
        </w:rPr>
        <w:t>incrementally more confident</w:t>
      </w:r>
      <w:r>
        <w:rPr>
          <w:rFonts w:ascii="Calibri" w:hAnsi="Calibri"/>
          <w:color w:val="525866"/>
          <w:sz w:val="22"/>
        </w:rPr>
        <w:t xml:space="preserve"> on the International recovery, while acknowledging tariff-driven margin rate pressure that is expected to be offset at the operating income and EPS level.</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28)</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Reported Revenue Growth</w:t>
            </w:r>
          </w:p>
        </w:tc>
        <w:tc>
          <w:tcPr>
            <w:tcW w:type="dxa" w:w="1728"/>
          </w:tcPr>
          <w:p>
            <w:r>
              <w:rPr>
                <w:rFonts w:ascii="Calibri" w:hAnsi="Calibri"/>
                <w:sz w:val="22"/>
              </w:rPr>
              <w:t>+6% to +8% (raised 1 pt at Q1 to include DCI acquisition)</w:t>
            </w:r>
          </w:p>
        </w:tc>
        <w:tc>
          <w:tcPr>
            <w:tcW w:type="dxa" w:w="1728"/>
          </w:tcPr>
          <w:p>
            <w:r>
              <w:rPr>
                <w:rFonts w:ascii="Calibri" w:hAnsi="Calibri"/>
                <w:sz w:val="22"/>
              </w:rPr>
              <w:t>—</w:t>
            </w:r>
          </w:p>
        </w:tc>
        <w:tc>
          <w:tcPr>
            <w:tcW w:type="dxa" w:w="1728"/>
          </w:tcPr>
          <w:p>
            <w:r>
              <w:rPr>
                <w:rFonts w:ascii="Calibri" w:hAnsi="Calibri"/>
                <w:sz w:val="22"/>
              </w:rPr>
              <w:t>~+7.5% implied by $4.40B FY consensus</w:t>
            </w:r>
          </w:p>
        </w:tc>
        <w:tc>
          <w:tcPr>
            <w:tcW w:type="dxa" w:w="1728"/>
          </w:tcPr>
          <w:p>
            <w:r>
              <w:rPr>
                <w:rFonts w:ascii="Calibri" w:hAnsi="Calibri"/>
                <w:sz w:val="22"/>
              </w:rPr>
              <w:t>Raised at Q1 earnings to include DCI; affirmed at Wells Fargo June 9 conference</w:t>
            </w:r>
          </w:p>
        </w:tc>
      </w:tr>
      <w:tr>
        <w:tc>
          <w:tcPr>
            <w:tcW w:type="dxa" w:w="1728"/>
          </w:tcPr>
          <w:p>
            <w:r>
              <w:rPr>
                <w:rFonts w:ascii="Calibri" w:hAnsi="Calibri"/>
                <w:sz w:val="22"/>
              </w:rPr>
              <w:t>Organic Revenue Growth</w:t>
            </w:r>
          </w:p>
        </w:tc>
        <w:tc>
          <w:tcPr>
            <w:tcW w:type="dxa" w:w="1728"/>
          </w:tcPr>
          <w:p>
            <w:r>
              <w:rPr>
                <w:rFonts w:ascii="Calibri" w:hAnsi="Calibri"/>
                <w:sz w:val="22"/>
              </w:rPr>
              <w:t>+2% to +4%</w:t>
            </w:r>
          </w:p>
        </w:tc>
        <w:tc>
          <w:tcPr>
            <w:tcW w:type="dxa" w:w="1728"/>
          </w:tcPr>
          <w:p>
            <w:r>
              <w:rPr>
                <w:rFonts w:ascii="Calibri" w:hAnsi="Calibri"/>
                <w:sz w:val="22"/>
              </w:rPr>
              <w:t>—</w:t>
            </w:r>
          </w:p>
        </w:tc>
        <w:tc>
          <w:tcPr>
            <w:tcW w:type="dxa" w:w="1728"/>
          </w:tcPr>
          <w:p>
            <w:r>
              <w:rPr>
                <w:rFonts w:ascii="Calibri" w:hAnsi="Calibri"/>
                <w:sz w:val="22"/>
              </w:rPr>
              <w:t>~+4.0% (FY 2026 consensus)</w:t>
            </w:r>
          </w:p>
        </w:tc>
        <w:tc>
          <w:tcPr>
            <w:tcW w:type="dxa" w:w="1728"/>
          </w:tcPr>
          <w:p>
            <w:r>
              <w:rPr>
                <w:rFonts w:ascii="Calibri" w:hAnsi="Calibri"/>
                <w:sz w:val="22"/>
              </w:rPr>
              <w:t>Affirmed at Q1 earnings and at Wells Fargo June 9; pricing actions not yet in market as of Q1</w:t>
            </w:r>
          </w:p>
        </w:tc>
      </w:tr>
      <w:tr>
        <w:tc>
          <w:tcPr>
            <w:tcW w:type="dxa" w:w="1728"/>
          </w:tcPr>
          <w:p>
            <w:r>
              <w:rPr>
                <w:rFonts w:ascii="Calibri" w:hAnsi="Calibri"/>
                <w:sz w:val="22"/>
              </w:rPr>
              <w:t>Adjusted EPS</w:t>
            </w:r>
          </w:p>
        </w:tc>
        <w:tc>
          <w:tcPr>
            <w:tcW w:type="dxa" w:w="1728"/>
          </w:tcPr>
          <w:p>
            <w:r>
              <w:rPr>
                <w:rFonts w:ascii="Calibri" w:hAnsi="Calibri"/>
                <w:sz w:val="22"/>
              </w:rPr>
              <w:t>$8.70–$8.90</w:t>
            </w:r>
          </w:p>
        </w:tc>
        <w:tc>
          <w:tcPr>
            <w:tcW w:type="dxa" w:w="1728"/>
          </w:tcPr>
          <w:p>
            <w:r>
              <w:rPr>
                <w:rFonts w:ascii="Calibri" w:hAnsi="Calibri"/>
                <w:sz w:val="22"/>
              </w:rPr>
              <w:t>—</w:t>
            </w:r>
          </w:p>
        </w:tc>
        <w:tc>
          <w:tcPr>
            <w:tcW w:type="dxa" w:w="1728"/>
          </w:tcPr>
          <w:p>
            <w:r>
              <w:rPr>
                <w:rFonts w:ascii="Calibri" w:hAnsi="Calibri"/>
                <w:sz w:val="22"/>
              </w:rPr>
              <w:t>$8.77</w:t>
            </w:r>
          </w:p>
        </w:tc>
        <w:tc>
          <w:tcPr>
            <w:tcW w:type="dxa" w:w="1728"/>
          </w:tcPr>
          <w:p>
            <w:r>
              <w:rPr>
                <w:rFonts w:ascii="Calibri" w:hAnsi="Calibri"/>
                <w:sz w:val="22"/>
              </w:rPr>
              <w:t>Affirmed at Q1 earnings; management expects tariff headwind (~1% of COGS) to be offset at EPS level via price + cost actions</w:t>
            </w:r>
          </w:p>
        </w:tc>
      </w:tr>
      <w:tr>
        <w:tc>
          <w:tcPr>
            <w:tcW w:type="dxa" w:w="1728"/>
          </w:tcPr>
          <w:p>
            <w:r>
              <w:rPr>
                <w:rFonts w:ascii="Calibri" w:hAnsi="Calibri"/>
                <w:sz w:val="22"/>
              </w:rPr>
              <w:t>Americas Organic Growth</w:t>
            </w:r>
          </w:p>
        </w:tc>
        <w:tc>
          <w:tcPr>
            <w:tcW w:type="dxa" w:w="1728"/>
          </w:tcPr>
          <w:p>
            <w:r>
              <w:rPr>
                <w:rFonts w:ascii="Calibri" w:hAnsi="Calibri"/>
                <w:sz w:val="22"/>
              </w:rPr>
              <w:t>Volume growth expected in non-res for FY; resi flat to slightly negative</w:t>
            </w:r>
          </w:p>
        </w:tc>
        <w:tc>
          <w:tcPr>
            <w:tcW w:type="dxa" w:w="1728"/>
          </w:tcPr>
          <w:p>
            <w:r>
              <w:rPr>
                <w:rFonts w:ascii="Calibri" w:hAnsi="Calibri"/>
                <w:sz w:val="22"/>
              </w:rPr>
              <w:t>—</w:t>
            </w:r>
          </w:p>
        </w:tc>
        <w:tc>
          <w:tcPr>
            <w:tcW w:type="dxa" w:w="1728"/>
          </w:tcPr>
          <w:p>
            <w:r>
              <w:rPr>
                <w:rFonts w:ascii="Calibri" w:hAnsi="Calibri"/>
                <w:sz w:val="22"/>
              </w:rPr>
              <w:t>~+4.9% Americas organic (FY 2026 consensus)</w:t>
            </w:r>
          </w:p>
        </w:tc>
        <w:tc>
          <w:tcPr>
            <w:tcW w:type="dxa" w:w="1728"/>
          </w:tcPr>
          <w:p>
            <w:r>
              <w:rPr>
                <w:rFonts w:ascii="Calibri" w:hAnsi="Calibri"/>
                <w:sz w:val="22"/>
              </w:rPr>
              <w:t>Tone: confident; spec activity described as "very strong and broad-based" at June 9 conference</w:t>
            </w:r>
          </w:p>
        </w:tc>
      </w:tr>
      <w:tr>
        <w:tc>
          <w:tcPr>
            <w:tcW w:type="dxa" w:w="1728"/>
          </w:tcPr>
          <w:p>
            <w:r>
              <w:rPr>
                <w:rFonts w:ascii="Calibri" w:hAnsi="Calibri"/>
                <w:sz w:val="22"/>
              </w:rPr>
              <w:t>International Organic Growth</w:t>
            </w:r>
          </w:p>
        </w:tc>
        <w:tc>
          <w:tcPr>
            <w:tcW w:type="dxa" w:w="1728"/>
          </w:tcPr>
          <w:p>
            <w:r>
              <w:rPr>
                <w:rFonts w:ascii="Calibri" w:hAnsi="Calibri"/>
                <w:sz w:val="22"/>
              </w:rPr>
              <w:t>Q1 shortfall to be recovered over Q2–Q4; sequential improvement each quarter</w:t>
            </w:r>
          </w:p>
        </w:tc>
        <w:tc>
          <w:tcPr>
            <w:tcW w:type="dxa" w:w="1728"/>
          </w:tcPr>
          <w:p>
            <w:r>
              <w:rPr>
                <w:rFonts w:ascii="Calibri" w:hAnsi="Calibri"/>
                <w:sz w:val="22"/>
              </w:rPr>
              <w:t>—</w:t>
            </w:r>
          </w:p>
        </w:tc>
        <w:tc>
          <w:tcPr>
            <w:tcW w:type="dxa" w:w="1728"/>
          </w:tcPr>
          <w:p>
            <w:r>
              <w:rPr>
                <w:rFonts w:ascii="Calibri" w:hAnsi="Calibri"/>
                <w:sz w:val="22"/>
              </w:rPr>
              <w:t>~-0.9% Q2 2026 consensus; ~+0.3% FY 2026 consensus</w:t>
            </w:r>
          </w:p>
        </w:tc>
        <w:tc>
          <w:tcPr>
            <w:tcW w:type="dxa" w:w="1728"/>
          </w:tcPr>
          <w:p>
            <w:r>
              <w:rPr>
                <w:rFonts w:ascii="Calibri" w:hAnsi="Calibri"/>
                <w:sz w:val="22"/>
              </w:rPr>
              <w:t>↑ Tone improved: CEO confirmed at June 9 Wells Fargo conf. business has "largely stopped the revenue bleed" and is back to producing and selling at rate</w:t>
            </w:r>
          </w:p>
        </w:tc>
      </w:tr>
      <w:tr>
        <w:tc>
          <w:tcPr>
            <w:tcW w:type="dxa" w:w="1728"/>
          </w:tcPr>
          <w:p>
            <w:r>
              <w:rPr>
                <w:rFonts w:ascii="Calibri" w:hAnsi="Calibri"/>
                <w:sz w:val="22"/>
              </w:rPr>
              <w:t>Americas Adj. Operating Margin</w:t>
            </w:r>
          </w:p>
        </w:tc>
        <w:tc>
          <w:tcPr>
            <w:tcW w:type="dxa" w:w="1728"/>
          </w:tcPr>
          <w:p>
            <w:r>
              <w:rPr>
                <w:rFonts w:ascii="Calibri" w:hAnsi="Calibri"/>
                <w:sz w:val="22"/>
              </w:rPr>
              <w:t>Q2: no big headwinds YoY but not much expansion; expansion weighted to Q3/Q4</w:t>
            </w:r>
          </w:p>
        </w:tc>
        <w:tc>
          <w:tcPr>
            <w:tcW w:type="dxa" w:w="1728"/>
          </w:tcPr>
          <w:p>
            <w:r>
              <w:rPr>
                <w:rFonts w:ascii="Calibri" w:hAnsi="Calibri"/>
                <w:sz w:val="22"/>
              </w:rPr>
              <w:t>—</w:t>
            </w:r>
          </w:p>
        </w:tc>
        <w:tc>
          <w:tcPr>
            <w:tcW w:type="dxa" w:w="1728"/>
          </w:tcPr>
          <w:p>
            <w:r>
              <w:rPr>
                <w:rFonts w:ascii="Calibri" w:hAnsi="Calibri"/>
                <w:sz w:val="22"/>
              </w:rPr>
              <w:t>~29.7% Q2 2026 consensus</w:t>
            </w:r>
          </w:p>
        </w:tc>
        <w:tc>
          <w:tcPr>
            <w:tcW w:type="dxa" w:w="1728"/>
          </w:tcPr>
          <w:p>
            <w:r>
              <w:rPr>
                <w:rFonts w:ascii="Calibri" w:hAnsi="Calibri"/>
                <w:sz w:val="22"/>
              </w:rPr>
              <w:t>Margin rate pressure from tariff/inflation acknowledged; dollar-basis offset expected</w:t>
            </w:r>
          </w:p>
        </w:tc>
      </w:tr>
      <w:tr>
        <w:tc>
          <w:tcPr>
            <w:tcW w:type="dxa" w:w="1728"/>
          </w:tcPr>
          <w:p>
            <w:r>
              <w:rPr>
                <w:rFonts w:ascii="Calibri" w:hAnsi="Calibri"/>
                <w:sz w:val="22"/>
              </w:rPr>
              <w:t>International Adj. Operating Margin</w:t>
            </w:r>
          </w:p>
        </w:tc>
        <w:tc>
          <w:tcPr>
            <w:tcW w:type="dxa" w:w="1728"/>
          </w:tcPr>
          <w:p>
            <w:r>
              <w:rPr>
                <w:rFonts w:ascii="Calibri" w:hAnsi="Calibri"/>
                <w:sz w:val="22"/>
              </w:rPr>
              <w:t>Q2: "a little softer versus last year on margin rates"; sequential improvement from Q1 2026</w:t>
            </w:r>
          </w:p>
        </w:tc>
        <w:tc>
          <w:tcPr>
            <w:tcW w:type="dxa" w:w="1728"/>
          </w:tcPr>
          <w:p>
            <w:r>
              <w:rPr>
                <w:rFonts w:ascii="Calibri" w:hAnsi="Calibri"/>
                <w:sz w:val="22"/>
              </w:rPr>
              <w:t>—</w:t>
            </w:r>
          </w:p>
        </w:tc>
        <w:tc>
          <w:tcPr>
            <w:tcW w:type="dxa" w:w="1728"/>
          </w:tcPr>
          <w:p>
            <w:r>
              <w:rPr>
                <w:rFonts w:ascii="Calibri" w:hAnsi="Calibri"/>
                <w:sz w:val="22"/>
              </w:rPr>
              <w:t>~11.2% Q2 2026 consensus (vs. 13.1% in Q2 2025)</w:t>
            </w:r>
          </w:p>
        </w:tc>
        <w:tc>
          <w:tcPr>
            <w:tcW w:type="dxa" w:w="1728"/>
          </w:tcPr>
          <w:p>
            <w:r>
              <w:rPr>
                <w:rFonts w:ascii="Calibri" w:hAnsi="Calibri"/>
                <w:sz w:val="22"/>
              </w:rPr>
              <w:t>ERP recovery ongoing; DCI acquisition adds ~30 bps margin rate headwind for full year</w:t>
            </w:r>
          </w:p>
        </w:tc>
      </w:tr>
      <w:tr>
        <w:tc>
          <w:tcPr>
            <w:tcW w:type="dxa" w:w="1728"/>
          </w:tcPr>
          <w:p>
            <w:r>
              <w:rPr>
                <w:rFonts w:ascii="Calibri" w:hAnsi="Calibri"/>
                <w:sz w:val="22"/>
              </w:rPr>
              <w:t>Free Cash Flow Conversion</w:t>
            </w:r>
          </w:p>
        </w:tc>
        <w:tc>
          <w:tcPr>
            <w:tcW w:type="dxa" w:w="1728"/>
          </w:tcPr>
          <w:p>
            <w:r>
              <w:rPr>
                <w:rFonts w:ascii="Calibri" w:hAnsi="Calibri"/>
                <w:sz w:val="22"/>
              </w:rPr>
              <w:t>85–95% of adjusted net income</w:t>
            </w:r>
          </w:p>
        </w:tc>
        <w:tc>
          <w:tcPr>
            <w:tcW w:type="dxa" w:w="1728"/>
          </w:tcPr>
          <w:p>
            <w:r>
              <w:rPr>
                <w:rFonts w:ascii="Calibri" w:hAnsi="Calibri"/>
                <w:sz w:val="22"/>
              </w:rPr>
              <w:t>—</w:t>
            </w:r>
          </w:p>
        </w:tc>
        <w:tc>
          <w:tcPr>
            <w:tcW w:type="dxa" w:w="1728"/>
          </w:tcPr>
          <w:p>
            <w:r>
              <w:rPr>
                <w:rFonts w:ascii="Calibri" w:hAnsi="Calibri"/>
                <w:sz w:val="22"/>
              </w:rPr>
              <w:t>~$725M FY 2026 consensus</w:t>
            </w:r>
          </w:p>
        </w:tc>
        <w:tc>
          <w:tcPr>
            <w:tcW w:type="dxa" w:w="1728"/>
          </w:tcPr>
          <w:p>
            <w:r>
              <w:rPr>
                <w:rFonts w:ascii="Calibri" w:hAnsi="Calibri"/>
                <w:sz w:val="22"/>
              </w:rPr>
              <w:t>Affirmed; Q1 FCF of $80M was seasonally low (typical pattern)</w:t>
            </w:r>
          </w:p>
        </w:tc>
      </w:tr>
    </w:tbl>
    <w:p>
      <w:r>
        <w:rPr>
          <w:rFonts w:ascii="Calibri" w:hAnsi="Calibri"/>
          <w:i/>
          <w:color w:val="525866"/>
          <w:sz w:val="22"/>
        </w:rPr>
        <w:t>Source: ALLE Q1 2026 Earnings Call transcript (April 28, 2026); ALLE Wells Fargo Industrials &amp; Materials Conference transcript (June 9, 2026); Visible Alpha Consensus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been broadly stable since the Q1 print, with Q2 2026 revenue consensus up ~$6M and EPS up ~$0.01 since the post-earnings baseline — essentially flat. FY 2026 estimates have drifted modestly higher on revenue (+$23M) and EPS (+$0.04), suggesting the market has largely accepted management’s guidance and is not pricing in meaningful upside or downside from the International recovery.</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5, 2026)</w:t>
            </w:r>
          </w:p>
        </w:tc>
        <w:tc>
          <w:tcPr>
            <w:tcW w:type="dxa" w:w="1080"/>
            <w:shd w:val="clear" w:color="auto" w:fill="3B4259"/>
          </w:tcPr>
          <w:p>
            <w:r>
              <w:rPr>
                <w:rFonts w:ascii="Calibri" w:hAnsi="Calibri"/>
                <w:b/>
                <w:color w:val="FFFFFF"/>
                <w:sz w:val="22"/>
              </w:rPr>
              <w:t>Current Consensus (Jul 22,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Earnings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Midpoint</w:t>
            </w:r>
          </w:p>
        </w:tc>
      </w:tr>
      <w:tr>
        <w:tc>
          <w:tcPr>
            <w:tcW w:type="dxa" w:w="1080"/>
          </w:tcPr>
          <w:p>
            <w:r>
              <w:rPr>
                <w:rFonts w:ascii="Calibri" w:hAnsi="Calibri"/>
                <w:sz w:val="22"/>
              </w:rPr>
              <w:t>Total Revenue — Q2 2026</w:t>
            </w:r>
          </w:p>
        </w:tc>
        <w:tc>
          <w:tcPr>
            <w:tcW w:type="dxa" w:w="1080"/>
          </w:tcPr>
          <w:p>
            <w:r>
              <w:rPr>
                <w:rFonts w:ascii="Calibri" w:hAnsi="Calibri"/>
                <w:sz w:val="22"/>
              </w:rPr>
              <w:t>$1,111.4M</w:t>
            </w:r>
          </w:p>
        </w:tc>
        <w:tc>
          <w:tcPr>
            <w:tcW w:type="dxa" w:w="1080"/>
          </w:tcPr>
          <w:p>
            <w:r>
              <w:rPr>
                <w:rFonts w:ascii="Calibri" w:hAnsi="Calibri"/>
                <w:sz w:val="22"/>
              </w:rPr>
              <w:t>$1,117.4M</w:t>
            </w:r>
          </w:p>
        </w:tc>
        <w:tc>
          <w:tcPr>
            <w:tcW w:type="dxa" w:w="1080"/>
          </w:tcPr>
          <w:p>
            <w:r>
              <w:rPr>
                <w:rFonts w:ascii="Calibri" w:hAnsi="Calibri"/>
                <w:b/>
                <w:color w:val="30A46C"/>
                <w:sz w:val="22"/>
              </w:rPr>
              <w:t>+0.5%</w:t>
            </w:r>
          </w:p>
        </w:tc>
        <w:tc>
          <w:tcPr>
            <w:tcW w:type="dxa" w:w="1080"/>
          </w:tcPr>
          <w:p>
            <w:r>
              <w:rPr>
                <w:rFonts w:ascii="Calibri" w:hAnsi="Calibri"/>
                <w:sz w:val="22"/>
              </w:rPr>
              <w:t>N/A (no quarterly guidance)</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 FY 2026</w:t>
            </w:r>
          </w:p>
        </w:tc>
        <w:tc>
          <w:tcPr>
            <w:tcW w:type="dxa" w:w="1080"/>
          </w:tcPr>
          <w:p>
            <w:r>
              <w:rPr>
                <w:rFonts w:ascii="Calibri" w:hAnsi="Calibri"/>
                <w:sz w:val="22"/>
              </w:rPr>
              <w:t>$4,375M</w:t>
            </w:r>
          </w:p>
        </w:tc>
        <w:tc>
          <w:tcPr>
            <w:tcW w:type="dxa" w:w="1080"/>
          </w:tcPr>
          <w:p>
            <w:r>
              <w:rPr>
                <w:rFonts w:ascii="Calibri" w:hAnsi="Calibri"/>
                <w:sz w:val="22"/>
              </w:rPr>
              <w:t>$4,398M</w:t>
            </w:r>
          </w:p>
        </w:tc>
        <w:tc>
          <w:tcPr>
            <w:tcW w:type="dxa" w:w="1080"/>
          </w:tcPr>
          <w:p>
            <w:r>
              <w:rPr>
                <w:rFonts w:ascii="Calibri" w:hAnsi="Calibri"/>
                <w:b/>
                <w:color w:val="30A46C"/>
                <w:sz w:val="22"/>
              </w:rPr>
              <w:t>+0.5%</w:t>
            </w:r>
          </w:p>
        </w:tc>
        <w:tc>
          <w:tcPr>
            <w:tcW w:type="dxa" w:w="1080"/>
          </w:tcPr>
          <w:p>
            <w:r>
              <w:rPr>
                <w:rFonts w:ascii="Calibri" w:hAnsi="Calibri"/>
                <w:sz w:val="22"/>
              </w:rPr>
              <w:t>+6% to +8% reported growth</w:t>
            </w:r>
          </w:p>
        </w:tc>
        <w:tc>
          <w:tcPr>
            <w:tcW w:type="dxa" w:w="1080"/>
          </w:tcPr>
          <w:p>
            <w:r>
              <w:rPr>
                <w:rFonts w:ascii="Calibri" w:hAnsi="Calibri"/>
                <w:sz w:val="22"/>
              </w:rPr>
              <w:t>+6% to +8% (unchanged)</w:t>
            </w:r>
          </w:p>
        </w:tc>
        <w:tc>
          <w:tcPr>
            <w:tcW w:type="dxa" w:w="1080"/>
          </w:tcPr>
          <w:p>
            <w:r>
              <w:rPr>
                <w:rFonts w:ascii="Calibri" w:hAnsi="Calibri"/>
                <w:sz w:val="22"/>
              </w:rPr>
              <w:t>No change</w:t>
            </w:r>
          </w:p>
        </w:tc>
        <w:tc>
          <w:tcPr>
            <w:tcW w:type="dxa" w:w="1080"/>
          </w:tcPr>
          <w:p>
            <w:r>
              <w:rPr>
                <w:rFonts w:ascii="Calibri" w:hAnsi="Calibri"/>
                <w:sz w:val="22"/>
              </w:rPr>
              <w:t>~+7.5% implied; within range</w:t>
            </w:r>
          </w:p>
        </w:tc>
      </w:tr>
      <w:tr>
        <w:tc>
          <w:tcPr>
            <w:tcW w:type="dxa" w:w="1080"/>
          </w:tcPr>
          <w:p>
            <w:r>
              <w:rPr>
                <w:rFonts w:ascii="Calibri" w:hAnsi="Calibri"/>
                <w:sz w:val="22"/>
              </w:rPr>
              <w:t>Organic Growth — Q2 2026 (%)</w:t>
            </w:r>
          </w:p>
        </w:tc>
        <w:tc>
          <w:tcPr>
            <w:tcW w:type="dxa" w:w="1080"/>
          </w:tcPr>
          <w:p>
            <w:r>
              <w:rPr>
                <w:rFonts w:ascii="Calibri" w:hAnsi="Calibri"/>
                <w:sz w:val="22"/>
              </w:rPr>
              <w:t>+3.5%</w:t>
            </w:r>
          </w:p>
        </w:tc>
        <w:tc>
          <w:tcPr>
            <w:tcW w:type="dxa" w:w="1080"/>
          </w:tcPr>
          <w:p>
            <w:r>
              <w:rPr>
                <w:rFonts w:ascii="Calibri" w:hAnsi="Calibri"/>
                <w:sz w:val="22"/>
              </w:rPr>
              <w:t>+3.7%</w:t>
            </w:r>
          </w:p>
        </w:tc>
        <w:tc>
          <w:tcPr>
            <w:tcW w:type="dxa" w:w="1080"/>
          </w:tcPr>
          <w:p>
            <w:r>
              <w:rPr>
                <w:rFonts w:ascii="Calibri" w:hAnsi="Calibri"/>
                <w:b/>
                <w:color w:val="30A46C"/>
                <w:sz w:val="22"/>
              </w:rPr>
              <w:t>+20 bps</w:t>
            </w:r>
          </w:p>
        </w:tc>
        <w:tc>
          <w:tcPr>
            <w:tcW w:type="dxa" w:w="1080"/>
          </w:tcPr>
          <w:p>
            <w:r>
              <w:rPr>
                <w:rFonts w:ascii="Calibri" w:hAnsi="Calibri"/>
                <w:sz w:val="22"/>
              </w:rPr>
              <w:t>N/A (no quarterly guidance)</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Organic Growth — FY 2026 (%)</w:t>
            </w:r>
          </w:p>
        </w:tc>
        <w:tc>
          <w:tcPr>
            <w:tcW w:type="dxa" w:w="1080"/>
          </w:tcPr>
          <w:p>
            <w:r>
              <w:rPr>
                <w:rFonts w:ascii="Calibri" w:hAnsi="Calibri"/>
                <w:sz w:val="22"/>
              </w:rPr>
              <w:t>+3.6%</w:t>
            </w:r>
          </w:p>
        </w:tc>
        <w:tc>
          <w:tcPr>
            <w:tcW w:type="dxa" w:w="1080"/>
          </w:tcPr>
          <w:p>
            <w:r>
              <w:rPr>
                <w:rFonts w:ascii="Calibri" w:hAnsi="Calibri"/>
                <w:sz w:val="22"/>
              </w:rPr>
              <w:t>+4.0%</w:t>
            </w:r>
          </w:p>
        </w:tc>
        <w:tc>
          <w:tcPr>
            <w:tcW w:type="dxa" w:w="1080"/>
          </w:tcPr>
          <w:p>
            <w:r>
              <w:rPr>
                <w:rFonts w:ascii="Calibri" w:hAnsi="Calibri"/>
                <w:b/>
                <w:color w:val="30A46C"/>
                <w:sz w:val="22"/>
              </w:rPr>
              <w:t>+40 bps</w:t>
            </w:r>
          </w:p>
        </w:tc>
        <w:tc>
          <w:tcPr>
            <w:tcW w:type="dxa" w:w="1080"/>
          </w:tcPr>
          <w:p>
            <w:r>
              <w:rPr>
                <w:rFonts w:ascii="Calibri" w:hAnsi="Calibri"/>
                <w:sz w:val="22"/>
              </w:rPr>
              <w:t>+2% to +4%</w:t>
            </w:r>
          </w:p>
        </w:tc>
        <w:tc>
          <w:tcPr>
            <w:tcW w:type="dxa" w:w="1080"/>
          </w:tcPr>
          <w:p>
            <w:r>
              <w:rPr>
                <w:rFonts w:ascii="Calibri" w:hAnsi="Calibri"/>
                <w:sz w:val="22"/>
              </w:rPr>
              <w:t>+2% to +4% (unchanged)</w:t>
            </w:r>
          </w:p>
        </w:tc>
        <w:tc>
          <w:tcPr>
            <w:tcW w:type="dxa" w:w="1080"/>
          </w:tcPr>
          <w:p>
            <w:r>
              <w:rPr>
                <w:rFonts w:ascii="Calibri" w:hAnsi="Calibri"/>
                <w:sz w:val="22"/>
              </w:rPr>
              <w:t>No change</w:t>
            </w:r>
          </w:p>
        </w:tc>
        <w:tc>
          <w:tcPr>
            <w:tcW w:type="dxa" w:w="1080"/>
          </w:tcPr>
          <w:p>
            <w:r>
              <w:rPr>
                <w:rFonts w:ascii="Calibri" w:hAnsi="Calibri"/>
                <w:sz w:val="22"/>
              </w:rPr>
              <w:t>~+100 bps above midpoint; at top of range</w:t>
            </w:r>
          </w:p>
        </w:tc>
      </w:tr>
      <w:tr>
        <w:tc>
          <w:tcPr>
            <w:tcW w:type="dxa" w:w="1080"/>
          </w:tcPr>
          <w:p>
            <w:r>
              <w:rPr>
                <w:rFonts w:ascii="Calibri" w:hAnsi="Calibri"/>
                <w:sz w:val="22"/>
              </w:rPr>
              <w:t>Adj. EPS — Q2 2026 ($)</w:t>
            </w:r>
          </w:p>
        </w:tc>
        <w:tc>
          <w:tcPr>
            <w:tcW w:type="dxa" w:w="1080"/>
          </w:tcPr>
          <w:p>
            <w:r>
              <w:rPr>
                <w:rFonts w:ascii="Calibri" w:hAnsi="Calibri"/>
                <w:sz w:val="22"/>
              </w:rPr>
              <w:t>$2.20</w:t>
            </w:r>
          </w:p>
        </w:tc>
        <w:tc>
          <w:tcPr>
            <w:tcW w:type="dxa" w:w="1080"/>
          </w:tcPr>
          <w:p>
            <w:r>
              <w:rPr>
                <w:rFonts w:ascii="Calibri" w:hAnsi="Calibri"/>
                <w:sz w:val="22"/>
              </w:rPr>
              <w:t>$2.21</w:t>
            </w:r>
          </w:p>
        </w:tc>
        <w:tc>
          <w:tcPr>
            <w:tcW w:type="dxa" w:w="1080"/>
          </w:tcPr>
          <w:p>
            <w:r>
              <w:rPr>
                <w:rFonts w:ascii="Calibri" w:hAnsi="Calibri"/>
                <w:b/>
                <w:color w:val="30A46C"/>
                <w:sz w:val="22"/>
              </w:rPr>
              <w:t>+0.5%</w:t>
            </w:r>
          </w:p>
        </w:tc>
        <w:tc>
          <w:tcPr>
            <w:tcW w:type="dxa" w:w="1080"/>
          </w:tcPr>
          <w:p>
            <w:r>
              <w:rPr>
                <w:rFonts w:ascii="Calibri" w:hAnsi="Calibri"/>
                <w:sz w:val="22"/>
              </w:rPr>
              <w:t>N/A (no quarterly guidance)</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EPS — FY 2026 ($)</w:t>
            </w:r>
          </w:p>
        </w:tc>
        <w:tc>
          <w:tcPr>
            <w:tcW w:type="dxa" w:w="1080"/>
          </w:tcPr>
          <w:p>
            <w:r>
              <w:rPr>
                <w:rFonts w:ascii="Calibri" w:hAnsi="Calibri"/>
                <w:sz w:val="22"/>
              </w:rPr>
              <w:t>$8.73</w:t>
            </w:r>
          </w:p>
        </w:tc>
        <w:tc>
          <w:tcPr>
            <w:tcW w:type="dxa" w:w="1080"/>
          </w:tcPr>
          <w:p>
            <w:r>
              <w:rPr>
                <w:rFonts w:ascii="Calibri" w:hAnsi="Calibri"/>
                <w:sz w:val="22"/>
              </w:rPr>
              <w:t>$8.77</w:t>
            </w:r>
          </w:p>
        </w:tc>
        <w:tc>
          <w:tcPr>
            <w:tcW w:type="dxa" w:w="1080"/>
          </w:tcPr>
          <w:p>
            <w:r>
              <w:rPr>
                <w:rFonts w:ascii="Calibri" w:hAnsi="Calibri"/>
                <w:b/>
                <w:color w:val="30A46C"/>
                <w:sz w:val="22"/>
              </w:rPr>
              <w:t>+0.5%</w:t>
            </w:r>
          </w:p>
        </w:tc>
        <w:tc>
          <w:tcPr>
            <w:tcW w:type="dxa" w:w="1080"/>
          </w:tcPr>
          <w:p>
            <w:r>
              <w:rPr>
                <w:rFonts w:ascii="Calibri" w:hAnsi="Calibri"/>
                <w:sz w:val="22"/>
              </w:rPr>
              <w:t>$8.70–$8.90</w:t>
            </w:r>
          </w:p>
        </w:tc>
        <w:tc>
          <w:tcPr>
            <w:tcW w:type="dxa" w:w="1080"/>
          </w:tcPr>
          <w:p>
            <w:r>
              <w:rPr>
                <w:rFonts w:ascii="Calibri" w:hAnsi="Calibri"/>
                <w:sz w:val="22"/>
              </w:rPr>
              <w:t>$8.70–$8.90 (unchanged)</w:t>
            </w:r>
          </w:p>
        </w:tc>
        <w:tc>
          <w:tcPr>
            <w:tcW w:type="dxa" w:w="1080"/>
          </w:tcPr>
          <w:p>
            <w:r>
              <w:rPr>
                <w:rFonts w:ascii="Calibri" w:hAnsi="Calibri"/>
                <w:sz w:val="22"/>
              </w:rPr>
              <w:t>No change</w:t>
            </w:r>
          </w:p>
        </w:tc>
        <w:tc>
          <w:tcPr>
            <w:tcW w:type="dxa" w:w="1080"/>
          </w:tcPr>
          <w:p>
            <w:r>
              <w:rPr>
                <w:rFonts w:ascii="Calibri" w:hAnsi="Calibri"/>
                <w:sz w:val="22"/>
              </w:rPr>
              <w:t>~-3 cents below midpoint ($8.80); within range</w:t>
            </w:r>
          </w:p>
        </w:tc>
      </w:tr>
      <w:tr>
        <w:tc>
          <w:tcPr>
            <w:tcW w:type="dxa" w:w="1080"/>
          </w:tcPr>
          <w:p>
            <w:r>
              <w:rPr>
                <w:rFonts w:ascii="Calibri" w:hAnsi="Calibri"/>
                <w:sz w:val="22"/>
              </w:rPr>
              <w:t>EBITA Margin — Q2 2026 (%)</w:t>
            </w:r>
          </w:p>
        </w:tc>
        <w:tc>
          <w:tcPr>
            <w:tcW w:type="dxa" w:w="1080"/>
          </w:tcPr>
          <w:p>
            <w:r>
              <w:rPr>
                <w:rFonts w:ascii="Calibri" w:hAnsi="Calibri"/>
                <w:sz w:val="22"/>
              </w:rPr>
              <w:t>23.4%</w:t>
            </w:r>
          </w:p>
        </w:tc>
        <w:tc>
          <w:tcPr>
            <w:tcW w:type="dxa" w:w="1080"/>
          </w:tcPr>
          <w:p>
            <w:r>
              <w:rPr>
                <w:rFonts w:ascii="Calibri" w:hAnsi="Calibri"/>
                <w:sz w:val="22"/>
              </w:rPr>
              <w:t>23.4%</w:t>
            </w:r>
          </w:p>
        </w:tc>
        <w:tc>
          <w:tcPr>
            <w:tcW w:type="dxa" w:w="1080"/>
          </w:tcPr>
          <w:p>
            <w:r>
              <w:rPr>
                <w:rFonts w:ascii="Calibri" w:hAnsi="Calibri"/>
                <w:sz w:val="22"/>
              </w:rPr>
              <w:t>Flat</w:t>
            </w:r>
          </w:p>
        </w:tc>
        <w:tc>
          <w:tcPr>
            <w:tcW w:type="dxa" w:w="1080"/>
          </w:tcPr>
          <w:p>
            <w:r>
              <w:rPr>
                <w:rFonts w:ascii="Calibri" w:hAnsi="Calibri"/>
                <w:sz w:val="22"/>
              </w:rPr>
              <w:t>N/A (no quarterly guidance)</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color w:val="525866"/>
          <w:sz w:val="22"/>
        </w:rPr>
        <w:t>Estimates have barely moved since the Q1 print — all revisions are within +0.5% — indicating the sell-side has accepted management’s guidance framework and is not building in incremental upside from the International recovery or pricing actions. FY 2026 organic growth consensus of ~+4.0% sits at the top of the +2%–+4% guidance range, implying the market expects a clean execution of the recovery. Any positive surprise on International margins or pricing realization in Q2 could be a catalyst for upward EPS revisions.</w:t>
      </w:r>
    </w:p>
    <w:p>
      <w:r>
        <w:rPr>
          <w:rFonts w:ascii="Calibri" w:hAnsi="Calibri"/>
          <w:i/>
          <w:color w:val="525866"/>
          <w:sz w:val="22"/>
        </w:rPr>
        <w:t>Source: Visible Alpha Consensus and Actuals Data. Post-earnings baseline as of May 5, 2026 (5 trading days after April 28, 2026 earnings).</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ALLE has significantly underperformed both XLI (+4.6%) and SPY (+5.0%) since the Q1 2026 earnings print, gaining only ~+1.5% in absolute terms. The underperformance is driven by </w:t>
      </w:r>
      <w:r>
        <w:rPr>
          <w:rFonts w:ascii="Calibri" w:hAnsi="Calibri"/>
          <w:b/>
          <w:color w:val="525866"/>
          <w:sz w:val="22"/>
        </w:rPr>
        <w:t>multiple compression and sentiment reset</w:t>
      </w:r>
      <w:r>
        <w:rPr>
          <w:rFonts w:ascii="Calibri" w:hAnsi="Calibri"/>
          <w:color w:val="525866"/>
          <w:sz w:val="22"/>
        </w:rPr>
        <w:t xml:space="preserve"> following the EPS miss and International ERP disruption, not by estimate revisions (which have been flat). The stock has partially recovered from its May lows (~$125) but remains well below pre-earnings levels (~$148), suggesting the market is waiting for proof of the International recovery before re-rating.</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ALLE vs XLI (Industrials ETF) vs S&amp;P 500 (SPY) — Indexed to 100 at Q1 2026 Earnings (April 28, 2026). XLI selected as the sector ETF given ALLE’s classification in the Industrials sector (security products &amp; building hardware). Source: Stock Price Data.</w:t>
      </w:r>
    </w:p>
    <w:p>
      <w:r>
        <w:rPr>
          <w:rFonts w:ascii="Calibri" w:hAnsi="Calibri"/>
          <w:color w:val="525866"/>
          <w:sz w:val="22"/>
        </w:rPr>
        <w:t>Since the Q1 2026 earnings print on April 28, ALLE fell sharply from ~$148 to a trough of ~$125 by mid-May (a ~16% peak-to-trough decline), driven by the EPS miss and International ERP disruption. The stock has since recovered to ~$140, but remains ~6% below pre-earnings levels. XLI and SPY both rallied meaningfully over the same period (+4.6% and +5.0% respectively), widening the relative underperformance gap to ~500–650 bps. The Wells Fargo conference on June 9 (marked on chart) provided a modest catalyst as CEO Stone confirmed the International business had stabilized, contributing to the late-June recovery. The stock’s inability to fully recover to pre-earnings levels despite stable estimates suggests the market is applying a valuation discount pending Q2 proof points on the International recovery and tariff pricing realization.</w:t>
      </w:r>
    </w:p>
    <w:p>
      <w:r>
        <w:rPr>
          <w:rFonts w:ascii="Calibri" w:hAnsi="Calibri"/>
          <w:i/>
          <w:color w:val="525866"/>
          <w:sz w:val="22"/>
        </w:rPr>
        <w:t>Source: Stock Price Data (Yahoo Finance).</w:t>
      </w:r>
    </w:p>
    <w:p>
      <w:r>
        <w:br w:type="page"/>
      </w:r>
    </w:p>
    <w:p>
      <w:pPr>
        <w:pStyle w:val="Heading2"/>
      </w:pPr>
      <w:r>
        <w:rPr>
          <w:rFonts w:ascii="Calibri" w:hAnsi="Calibri"/>
          <w:b/>
          <w:color w:val="3B4259"/>
          <w:sz w:val="28"/>
        </w:rPr>
        <w:t>6. Peer Commentaries — Read-Through for Q2 2026</w:t>
      </w:r>
    </w:p>
    <w:p>
      <w:r>
        <w:rPr>
          <w:rFonts w:ascii="Calibri" w:hAnsi="Calibri"/>
          <w:b/>
          <w:color w:val="525866"/>
          <w:sz w:val="22"/>
        </w:rPr>
        <w:t xml:space="preserve">Key Takeaway: </w:t>
      </w:r>
      <w:r>
        <w:rPr>
          <w:rFonts w:ascii="Calibri" w:hAnsi="Calibri"/>
          <w:color w:val="525866"/>
          <w:sz w:val="22"/>
        </w:rPr>
        <w:t>Peer commentary from the last 60 days is broadly constructive for ALLE’s Q2 setup. Non-residential commercial demand remains resilient across building products peers, pricing actions are being implemented and accepted, and the security/access control end market is showing strength. The most relevant read-throughs come from Resideo (ADI distribution channel), Carrier (commercial HVAC demand signals), and Johnson Controls (non-res institutional demand). OTIS’s Q2 2026 results (reported July 22) confirm strong non-res demand in Americas.</w:t>
      </w:r>
    </w:p>
    <w:p>
      <w:r>
        <w:rPr>
          <w:rFonts w:ascii="Calibri" w:hAnsi="Calibri"/>
          <w:i/>
          <w:color w:val="525866"/>
          <w:sz w:val="22"/>
        </w:rPr>
        <w:t>Note: Only commentary from the current reporting period (Q2 2026) or post-Q1 2025 earnings is included. Prior-quarter earnings commentary about prior-quarter results is excluded.</w:t>
      </w:r>
    </w:p>
    <w:p>
      <w:pPr>
        <w:pStyle w:val="Heading3"/>
      </w:pPr>
      <w:r>
        <w:rPr>
          <w:rFonts w:ascii="Calibri" w:hAnsi="Calibri"/>
          <w:b/>
          <w:color w:val="3B4259"/>
          <w:sz w:val="24"/>
        </w:rPr>
        <w:t>Resideo Technologies (REZI) — ADI Global Distribution (Q1 2026 Earnings, May 12, 2026; Baird Conference, June 2, 2026; Investor Day, July 13, 2026)</w:t>
      </w:r>
    </w:p>
    <w:p>
      <w:r>
        <w:rPr>
          <w:rFonts w:ascii="Calibri" w:hAnsi="Calibri"/>
          <w:b/>
          <w:color w:val="525866"/>
          <w:sz w:val="22"/>
        </w:rPr>
        <w:t xml:space="preserve">Relevance to ALLE: </w:t>
      </w:r>
      <w:r>
        <w:rPr>
          <w:rFonts w:ascii="Calibri" w:hAnsi="Calibri"/>
          <w:color w:val="525866"/>
          <w:sz w:val="22"/>
        </w:rPr>
        <w:t>ADI Global Distribution is one of the largest distributors of security, access control, and low-voltage building products in North America — a key channel partner for ALLE’s electronic locks and access control products. ADI’s commentary on commercial security demand, pricing, and channel inventory is a direct read-through for ALLE’s Americas electronics business.</w:t>
      </w:r>
    </w:p>
    <w:p>
      <w:pPr>
        <w:pStyle w:val="ListBullet"/>
        <w:ind w:left="360" w:hanging="360"/>
      </w:pPr>
      <w:r>
        <w:rPr>
          <w:rFonts w:ascii="Calibri" w:hAnsi="Calibri"/>
          <w:b/>
          <w:color w:val="525866"/>
          <w:sz w:val="22"/>
        </w:rPr>
        <w:t xml:space="preserve">Commercial security demand returning to growth: </w:t>
      </w:r>
      <w:r>
        <w:rPr>
          <w:rFonts w:ascii="Calibri" w:hAnsi="Calibri"/>
          <w:color w:val="525866"/>
          <w:sz w:val="22"/>
        </w:rPr>
        <w:t>ADI reported that "a number of our commercial categories actually returned to growth" in Q1 2026, with "strength in our security business" driving 8% net revenue growth YoY. Security, professional AV, and data communications were the primary growth drivers. This is a positive read-through for ALLE’s non-residential electronics business. (REZI Q1 2026 Earnings Call, May 12, 2026)</w:t>
      </w:r>
    </w:p>
    <w:p>
      <w:pPr>
        <w:pStyle w:val="ListBullet"/>
        <w:ind w:left="360" w:hanging="360"/>
      </w:pPr>
      <w:r>
        <w:rPr>
          <w:rFonts w:ascii="Calibri" w:hAnsi="Calibri"/>
          <w:b/>
          <w:color w:val="525866"/>
          <w:sz w:val="22"/>
        </w:rPr>
        <w:t xml:space="preserve">Q2 2026 headwinds from lapping: </w:t>
      </w:r>
      <w:r>
        <w:rPr>
          <w:rFonts w:ascii="Calibri" w:hAnsi="Calibri"/>
          <w:color w:val="525866"/>
          <w:sz w:val="22"/>
        </w:rPr>
        <w:t>ADI flagged Q2 as "going to continue to be a challenge" due to a gross margin headwind and tough revenue comps (Q2 2025 was up 9% partly from pull-ahead activity). ADI also noted it is "lapping a bubble" of incremental profitability from Q2–3 2025 when tariff-driven price increases were passed through while inventory was carried at lower cost. This suggests some channel caution in Q2 that could modestly weigh on ALLE’s distributor sell-in. (REZI Baird Conference, June 2, 2026)</w:t>
      </w:r>
    </w:p>
    <w:p>
      <w:pPr>
        <w:pStyle w:val="ListBullet"/>
        <w:ind w:left="360" w:hanging="360"/>
      </w:pPr>
      <w:r>
        <w:rPr>
          <w:rFonts w:ascii="Calibri" w:hAnsi="Calibri"/>
          <w:b/>
          <w:color w:val="525866"/>
          <w:sz w:val="22"/>
        </w:rPr>
        <w:t xml:space="preserve">Pricing actions in Q2: </w:t>
      </w:r>
      <w:r>
        <w:rPr>
          <w:rFonts w:ascii="Calibri" w:hAnsi="Calibri"/>
          <w:color w:val="525866"/>
          <w:sz w:val="22"/>
        </w:rPr>
        <w:t>Resideo’s P&amp;S segment signaled it would "raise prices later in the second quarter to combat increasing costs," with "broad understanding from customers for the need to share inflationary pressures." ADI is also "raising prices slightly" for incremental costs. This corroborates ALLE’s own pricing action narrative and suggests the channel is broadly accepting price increases — a positive read-through for ALLE’s tariff offset strategy. (REZI Q1 2026 Earnings Call, May 12, 2026; Baird Conference, June 2, 2026)</w:t>
      </w:r>
    </w:p>
    <w:p>
      <w:pPr>
        <w:pStyle w:val="ListBullet"/>
        <w:ind w:left="360" w:hanging="360"/>
      </w:pPr>
      <w:r>
        <w:rPr>
          <w:rFonts w:ascii="Calibri" w:hAnsi="Calibri"/>
          <w:b/>
          <w:color w:val="525866"/>
          <w:sz w:val="22"/>
        </w:rPr>
        <w:t xml:space="preserve">End-of-Q2 inflection expected: </w:t>
      </w:r>
      <w:r>
        <w:rPr>
          <w:rFonts w:ascii="Calibri" w:hAnsi="Calibri"/>
          <w:color w:val="525866"/>
          <w:sz w:val="22"/>
        </w:rPr>
        <w:t>ADI management described "the end of Q2 being the inflection point where we expect to see performance beginning to improve," driven by daily sales run rates that imply "a very significant amount of growth on the back half of the year." This is consistent with ALLE’s own back-half-weighted guidance and suggests the distribution channel is positioned for H2 acceleration. (REZI Baird Conference, June 2, 2026)</w:t>
      </w:r>
    </w:p>
    <w:p>
      <w:pPr>
        <w:pStyle w:val="ListBullet"/>
        <w:ind w:left="360" w:hanging="360"/>
      </w:pPr>
      <w:r>
        <w:rPr>
          <w:rFonts w:ascii="Calibri" w:hAnsi="Calibri"/>
          <w:b/>
          <w:color w:val="525866"/>
          <w:sz w:val="22"/>
        </w:rPr>
        <w:t xml:space="preserve">New security platform signals: </w:t>
      </w:r>
      <w:r>
        <w:rPr>
          <w:rFonts w:ascii="Calibri" w:hAnsi="Calibri"/>
          <w:color w:val="525866"/>
          <w:sz w:val="22"/>
        </w:rPr>
        <w:t>Resideo is "receiving positive market signals for our new integrated security platform scheduled for general market release in the second half of 2026" and is "about to this summer release a whole new set of products" in the security segment. Increased security product innovation across the ecosystem is a tailwind for ALLE’s access control and electronic lock portfolio. (REZI Q1 2026 Earnings Call, May 12, 2026; Investor Day, July 13, 2026)</w:t>
      </w:r>
    </w:p>
    <w:p>
      <w:pPr>
        <w:pStyle w:val="Heading3"/>
      </w:pPr>
      <w:r>
        <w:rPr>
          <w:rFonts w:ascii="Calibri" w:hAnsi="Calibri"/>
          <w:b/>
          <w:color w:val="3B4259"/>
          <w:sz w:val="24"/>
        </w:rPr>
        <w:t>Carrier Global (CARR) — Wells Fargo Industrials &amp; Materials Conference (June 9, 2026)</w:t>
      </w:r>
    </w:p>
    <w:p>
      <w:r>
        <w:rPr>
          <w:rFonts w:ascii="Calibri" w:hAnsi="Calibri"/>
          <w:b/>
          <w:color w:val="525866"/>
          <w:sz w:val="22"/>
        </w:rPr>
        <w:t xml:space="preserve">Relevance to ALLE: </w:t>
      </w:r>
      <w:r>
        <w:rPr>
          <w:rFonts w:ascii="Calibri" w:hAnsi="Calibri"/>
          <w:color w:val="525866"/>
          <w:sz w:val="22"/>
        </w:rPr>
        <w:t>Carrier is a leading commercial HVAC and building products company with significant exposure to non-residential construction — the same end market that drives ~80% of ALLE’s Americas revenue. Carrier’s commentary on commercial demand, pricing realization, and tariff management is a direct read-through for ALLE’s Americas non-residential business.</w:t>
      </w:r>
    </w:p>
    <w:p>
      <w:pPr>
        <w:pStyle w:val="ListBullet"/>
        <w:ind w:left="360" w:hanging="360"/>
      </w:pPr>
      <w:r>
        <w:rPr>
          <w:rFonts w:ascii="Calibri" w:hAnsi="Calibri"/>
          <w:b/>
          <w:color w:val="525866"/>
          <w:sz w:val="22"/>
        </w:rPr>
        <w:t xml:space="preserve">Non-residential commercial demand remains strong: </w:t>
      </w:r>
      <w:r>
        <w:rPr>
          <w:rFonts w:ascii="Calibri" w:hAnsi="Calibri"/>
          <w:color w:val="525866"/>
          <w:sz w:val="22"/>
        </w:rPr>
        <w:t>Carrier CEO David Gitlin stated "there is very strong demand with many of the verticals outside of data centers," including healthcare, infrastructure, industrial, and robotics. He confirmed Q2 2026 is "all good" with $6B in sales and $0.80 EPS on track, and that "April was quite strong" and "June started fine." This broad-based non-res demand is a positive read-through for ALLE’s Americas non-residential organic growth. (CARR Wells Fargo Conference, June 9, 2026)</w:t>
      </w:r>
    </w:p>
    <w:p>
      <w:pPr>
        <w:pStyle w:val="ListBullet"/>
        <w:ind w:left="360" w:hanging="360"/>
      </w:pPr>
      <w:r>
        <w:rPr>
          <w:rFonts w:ascii="Calibri" w:hAnsi="Calibri"/>
          <w:b/>
          <w:color w:val="525866"/>
          <w:sz w:val="22"/>
        </w:rPr>
        <w:t xml:space="preserve">Pricing realization in focus: </w:t>
      </w:r>
      <w:r>
        <w:rPr>
          <w:rFonts w:ascii="Calibri" w:hAnsi="Calibri"/>
          <w:color w:val="525866"/>
          <w:sz w:val="22"/>
        </w:rPr>
        <w:t>Carrier implemented pricing that came into effect in May, targeting ~2.5% price for the year (up from initial 1% guide, with tariff-driven additions). The company is focused on "dollar for dollar covering the input cost increases." This mirrors ALLE’s own pricing strategy and suggests the broader building products industry is successfully passing through tariff-related inflation — reducing the risk that ALLE’s pricing actions face channel pushback. (CARR Wells Fargo Conference, June 9, 2026)</w:t>
      </w:r>
    </w:p>
    <w:p>
      <w:pPr>
        <w:pStyle w:val="ListBullet"/>
        <w:ind w:left="360" w:hanging="360"/>
      </w:pPr>
      <w:r>
        <w:rPr>
          <w:rFonts w:ascii="Calibri" w:hAnsi="Calibri"/>
          <w:b/>
          <w:color w:val="525866"/>
          <w:sz w:val="22"/>
        </w:rPr>
        <w:t xml:space="preserve">Residential HVAC better than feared: </w:t>
      </w:r>
      <w:r>
        <w:rPr>
          <w:rFonts w:ascii="Calibri" w:hAnsi="Calibri"/>
          <w:color w:val="525866"/>
          <w:sz w:val="22"/>
        </w:rPr>
        <w:t>Carrier noted residential sales in Q2 are expected to be "better than" the initially guided -15% YoY, with the full-year residential market now expected to be ~7M units (vs. initial 6M guide). While ALLE’s residential exposure is small (~20% of Americas), this is a modest positive read-through for ALLE’s residential lock business. (CARR Wells Fargo Conference, June 9, 2026)</w:t>
      </w:r>
    </w:p>
    <w:p>
      <w:pPr>
        <w:pStyle w:val="ListBullet"/>
        <w:ind w:left="360" w:hanging="360"/>
      </w:pPr>
      <w:r>
        <w:rPr>
          <w:rFonts w:ascii="Calibri" w:hAnsi="Calibri"/>
          <w:b/>
          <w:color w:val="525866"/>
          <w:sz w:val="22"/>
        </w:rPr>
        <w:t xml:space="preserve">Section 232 tariff relief: </w:t>
      </w:r>
      <w:r>
        <w:rPr>
          <w:rFonts w:ascii="Calibri" w:hAnsi="Calibri"/>
          <w:color w:val="525866"/>
          <w:sz w:val="22"/>
        </w:rPr>
        <w:t>Carrier expressed satisfaction with the Section 232 tariff reduction from 25% to 15% (with a path to 10%), which reduces steel cost headwinds for building products manufacturers. ALLE’s heavy North American manufacturing footprint means it is similarly positioned to benefit from any tariff relief on steel inputs. (CARR Wells Fargo Conference, June 9, 2026)</w:t>
      </w:r>
    </w:p>
    <w:p>
      <w:pPr>
        <w:pStyle w:val="Heading3"/>
      </w:pPr>
      <w:r>
        <w:rPr>
          <w:rFonts w:ascii="Calibri" w:hAnsi="Calibri"/>
          <w:b/>
          <w:color w:val="3B4259"/>
          <w:sz w:val="24"/>
        </w:rPr>
        <w:t>Johnson Controls International (JCI) — Gemba Day / Investor Presentation (June 1, 2026)</w:t>
      </w:r>
    </w:p>
    <w:p>
      <w:r>
        <w:rPr>
          <w:rFonts w:ascii="Calibri" w:hAnsi="Calibri"/>
          <w:b/>
          <w:color w:val="525866"/>
          <w:sz w:val="22"/>
        </w:rPr>
        <w:t xml:space="preserve">Relevance to ALLE: </w:t>
      </w:r>
      <w:r>
        <w:rPr>
          <w:rFonts w:ascii="Calibri" w:hAnsi="Calibri"/>
          <w:color w:val="525866"/>
          <w:sz w:val="22"/>
        </w:rPr>
        <w:t>Johnson Controls is a major building technology and HVAC company with deep exposure to institutional non-residential construction (data centers, healthcare, advanced manufacturing). JCI’s commentary on institutional demand and order trends is a read-through for the broader non-residential construction cycle that underpins ALLE’s spec-driven demand model.</w:t>
      </w:r>
    </w:p>
    <w:p>
      <w:pPr>
        <w:pStyle w:val="ListBullet"/>
        <w:ind w:left="360" w:hanging="360"/>
      </w:pPr>
      <w:r>
        <w:rPr>
          <w:rFonts w:ascii="Calibri" w:hAnsi="Calibri"/>
          <w:b/>
          <w:color w:val="525866"/>
          <w:sz w:val="22"/>
        </w:rPr>
        <w:t xml:space="preserve">Record orders and backlog: </w:t>
      </w:r>
      <w:r>
        <w:rPr>
          <w:rFonts w:ascii="Calibri" w:hAnsi="Calibri"/>
          <w:color w:val="525866"/>
          <w:sz w:val="22"/>
        </w:rPr>
        <w:t>JCI reported "record order entry" and a "record backlog" as of June 1, 2026, with data center order entry described as "very healthy" and pipelines "continuing to grow." While JCI’s data center exposure is more direct than ALLE’s, the broader institutional non-res demand signal is positive for ALLE’s spec activity and project pipeline. (JCI Gemba Day, June 1, 2026)</w:t>
      </w:r>
    </w:p>
    <w:p>
      <w:pPr>
        <w:pStyle w:val="ListBullet"/>
        <w:ind w:left="360" w:hanging="360"/>
      </w:pPr>
      <w:r>
        <w:rPr>
          <w:rFonts w:ascii="Calibri" w:hAnsi="Calibri"/>
          <w:b/>
          <w:color w:val="525866"/>
          <w:sz w:val="22"/>
        </w:rPr>
        <w:t xml:space="preserve">Data center as a growing ALLE opportunity: </w:t>
      </w:r>
      <w:r>
        <w:rPr>
          <w:rFonts w:ascii="Calibri" w:hAnsi="Calibri"/>
          <w:color w:val="525866"/>
          <w:sz w:val="22"/>
        </w:rPr>
        <w:t>JCI noted data centers constituted ~12% of its revenue in 2025 and expects this to grow to ~1/3 of the company within 5 years. ALLE’s CEO separately noted at the Wells Fargo conference that data centers are "a small part of our business, growing very nicely" and that ALLE has "carved out a leading position there, at least in our industry." JCI’s demand commentary validates the secular tailwind for ALLE’s data center access control business. (JCI Gemba Day, June 1, 2026; ALLE Wells Fargo Conference, June 9, 2026)</w:t>
      </w:r>
    </w:p>
    <w:p>
      <w:pPr>
        <w:pStyle w:val="ListBullet"/>
        <w:ind w:left="360" w:hanging="360"/>
      </w:pPr>
      <w:r>
        <w:rPr>
          <w:rFonts w:ascii="Calibri" w:hAnsi="Calibri"/>
          <w:b/>
          <w:color w:val="525866"/>
          <w:sz w:val="22"/>
        </w:rPr>
        <w:t xml:space="preserve">Manufacturing capacity improving: </w:t>
      </w:r>
      <w:r>
        <w:rPr>
          <w:rFonts w:ascii="Calibri" w:hAnsi="Calibri"/>
          <w:color w:val="525866"/>
          <w:sz w:val="22"/>
        </w:rPr>
        <w:t>JCI reported that month-over-month, "lead times are coming down" and "on-time delivery is coming up" at its 8 data center-focused factories. Improving supply chain conditions across the building products ecosystem reduce the risk of component shortages that could constrain ALLE’s electronics production. (JCI Gemba Day, June 1, 2026)</w:t>
      </w:r>
    </w:p>
    <w:p>
      <w:pPr>
        <w:pStyle w:val="Heading3"/>
      </w:pPr>
      <w:r>
        <w:rPr>
          <w:rFonts w:ascii="Calibri" w:hAnsi="Calibri"/>
          <w:b/>
          <w:color w:val="3B4259"/>
          <w:sz w:val="24"/>
        </w:rPr>
        <w:t>Otis Worldwide (OTIS) — Q2 2026 Earnings (July 22, 2026)</w:t>
      </w:r>
    </w:p>
    <w:p>
      <w:r>
        <w:rPr>
          <w:rFonts w:ascii="Calibri" w:hAnsi="Calibri"/>
          <w:b/>
          <w:color w:val="525866"/>
          <w:sz w:val="22"/>
        </w:rPr>
        <w:t xml:space="preserve">Relevance to ALLE: </w:t>
      </w:r>
      <w:r>
        <w:rPr>
          <w:rFonts w:ascii="Calibri" w:hAnsi="Calibri"/>
          <w:color w:val="525866"/>
          <w:sz w:val="22"/>
        </w:rPr>
        <w:t>Otis is a global elevator and escalator company with significant Americas non-residential construction exposure. As a same-day reporter, Otis’s Q2 2026 results provide the most timely read-through on current non-residential demand conditions heading into ALLE’s print.</w:t>
      </w:r>
    </w:p>
    <w:p>
      <w:pPr>
        <w:pStyle w:val="ListBullet"/>
        <w:ind w:left="360" w:hanging="360"/>
      </w:pPr>
      <w:r>
        <w:rPr>
          <w:rFonts w:ascii="Calibri" w:hAnsi="Calibri"/>
          <w:b/>
          <w:color w:val="525866"/>
          <w:sz w:val="22"/>
        </w:rPr>
        <w:t xml:space="preserve">Americas non-residential demand strong: </w:t>
      </w:r>
      <w:r>
        <w:rPr>
          <w:rFonts w:ascii="Calibri" w:hAnsi="Calibri"/>
          <w:color w:val="525866"/>
          <w:sz w:val="22"/>
        </w:rPr>
        <w:t>Otis reported Q2 2026 organic sales growth of 6% overall, with North America delivering "stand out performance for the eighth straight quarter" with new equipment orders up 15% (after +24% in Q1). Americas new equipment sales grew 10% in Q2, supported by strong backlog conversion. This is a strong positive read-through for ALLE’s Americas non-residential organic growth in Q2. (OTIS Q2 2026 Earnings, July 22, 2026)</w:t>
      </w:r>
    </w:p>
    <w:p>
      <w:pPr>
        <w:pStyle w:val="ListBullet"/>
        <w:ind w:left="360" w:hanging="360"/>
      </w:pPr>
      <w:r>
        <w:rPr>
          <w:rFonts w:ascii="Calibri" w:hAnsi="Calibri"/>
          <w:b/>
          <w:color w:val="525866"/>
          <w:sz w:val="22"/>
        </w:rPr>
        <w:t xml:space="preserve">Service and modernization acceleration: </w:t>
      </w:r>
      <w:r>
        <w:rPr>
          <w:rFonts w:ascii="Calibri" w:hAnsi="Calibri"/>
          <w:color w:val="525866"/>
          <w:sz w:val="22"/>
        </w:rPr>
        <w:t>Otis’s modernization organic sales grew 24% in Q2 (highest since spin-off), with modernization backlog up 26% YoY. Repair sales grew 12%, the strongest in 10 quarters. This signals robust activity in the installed base of commercial buildings — a positive for ALLE’s aftermarket and retrofit business, which benefits from building renovation and upgrade cycles. (OTIS Q2 2026 Earnings, July 22, 2026)</w:t>
      </w:r>
    </w:p>
    <w:p>
      <w:pPr>
        <w:pStyle w:val="ListBullet"/>
        <w:ind w:left="360" w:hanging="360"/>
      </w:pPr>
      <w:r>
        <w:rPr>
          <w:rFonts w:ascii="Calibri" w:hAnsi="Calibri"/>
          <w:b/>
          <w:color w:val="525866"/>
          <w:sz w:val="22"/>
        </w:rPr>
        <w:t xml:space="preserve">Margin pressure from labor and materials: </w:t>
      </w:r>
      <w:r>
        <w:rPr>
          <w:rFonts w:ascii="Calibri" w:hAnsi="Calibri"/>
          <w:color w:val="525866"/>
          <w:sz w:val="22"/>
        </w:rPr>
        <w:t>Otis’s service operating margin declined 170 bps YoY to 23.2%, pressured by higher labor costs and strategic investments. Adjusted EPS declined 4% in Q2. This is a mild caution flag — cost pressures in the broader building products sector are real, and ALLE’s own margin guidance acknowledges tariff/inflation headwinds. However, ALLE’s pricing actions and cost discipline have historically been more effective than peers at protecting margins. (OTIS Q2 2026 Earnings, July 22, 2026)</w:t>
      </w:r>
    </w:p>
    <w:p>
      <w:pPr>
        <w:pStyle w:val="Heading3"/>
      </w:pPr>
      <w:r>
        <w:rPr>
          <w:rFonts w:ascii="Calibri" w:hAnsi="Calibri"/>
          <w:b/>
          <w:color w:val="3B4259"/>
          <w:sz w:val="24"/>
        </w:rPr>
        <w:t>Stanley Black &amp; Decker (SWK) — Wells Fargo Industrials &amp; Materials Conference (June 9, 2026)</w:t>
      </w:r>
    </w:p>
    <w:p>
      <w:r>
        <w:rPr>
          <w:rFonts w:ascii="Calibri" w:hAnsi="Calibri"/>
          <w:b/>
          <w:color w:val="525866"/>
          <w:sz w:val="22"/>
        </w:rPr>
        <w:t xml:space="preserve">Relevance to ALLE: </w:t>
      </w:r>
      <w:r>
        <w:rPr>
          <w:rFonts w:ascii="Calibri" w:hAnsi="Calibri"/>
          <w:color w:val="525866"/>
          <w:sz w:val="22"/>
        </w:rPr>
        <w:t>SWK is a building products and tools company with exposure to both professional construction and residential end markets. Its commentary on tariff management, pricing, and the construction demand environment provides a read-through for ALLE’s Americas business.</w:t>
      </w:r>
    </w:p>
    <w:p>
      <w:pPr>
        <w:pStyle w:val="ListBullet"/>
        <w:ind w:left="360" w:hanging="360"/>
      </w:pPr>
      <w:r>
        <w:rPr>
          <w:rFonts w:ascii="Calibri" w:hAnsi="Calibri"/>
          <w:b/>
          <w:color w:val="525866"/>
          <w:sz w:val="22"/>
        </w:rPr>
        <w:t xml:space="preserve">Tariff environment: 301 tariffs expected to return July 25: </w:t>
      </w:r>
      <w:r>
        <w:rPr>
          <w:rFonts w:ascii="Calibri" w:hAnsi="Calibri"/>
          <w:color w:val="525866"/>
          <w:sz w:val="22"/>
        </w:rPr>
        <w:t>SWK flagged that its model assumes the 301 tariffs will return on July 25, 2026, "essentially replicating what IEEPA was." This is a potential headwind for the broader building products sector in Q3–Q4 2026. ALLE has already guided for ~1% of COGS headwind from tariffs and other inflation, and has pricing actions in place to offset at the operating income level — but the return of 301 tariffs could create incremental pressure if not already in ALLE’s model. (SWK Wells Fargo Conference, June 9, 2026)</w:t>
      </w:r>
    </w:p>
    <w:p>
      <w:pPr>
        <w:pStyle w:val="ListBullet"/>
        <w:ind w:left="360" w:hanging="360"/>
      </w:pPr>
      <w:r>
        <w:rPr>
          <w:rFonts w:ascii="Calibri" w:hAnsi="Calibri"/>
          <w:b/>
          <w:color w:val="525866"/>
          <w:sz w:val="22"/>
        </w:rPr>
        <w:t xml:space="preserve">Professional construction markets outperforming DIY: </w:t>
      </w:r>
      <w:r>
        <w:rPr>
          <w:rFonts w:ascii="Calibri" w:hAnsi="Calibri"/>
          <w:color w:val="525866"/>
          <w:sz w:val="22"/>
        </w:rPr>
        <w:t>SWK noted that "professional markets are currently outperforming DIY markets," consistent with ALLE’s own observation that non-residential (professional) demand is healthy while residential remains soft. This validates ALLE’s portfolio mix toward non-res as a strategic advantage in the current environment. (SWK Wells Fargo Conference, June 9, 2026)</w:t>
      </w:r>
    </w:p>
    <w:p>
      <w:pPr>
        <w:pStyle w:val="ListBullet"/>
        <w:ind w:left="360" w:hanging="360"/>
      </w:pPr>
      <w:r>
        <w:rPr>
          <w:rFonts w:ascii="Calibri" w:hAnsi="Calibri"/>
          <w:b/>
          <w:color w:val="525866"/>
          <w:sz w:val="22"/>
        </w:rPr>
        <w:t xml:space="preserve">H1 margin headwinds, H2 recovery: </w:t>
      </w:r>
      <w:r>
        <w:rPr>
          <w:rFonts w:ascii="Calibri" w:hAnsi="Calibri"/>
          <w:color w:val="525866"/>
          <w:sz w:val="22"/>
        </w:rPr>
        <w:t>SWK expects H1 2026 to be a "foundation for a climb" in gross margins in H2, targeting an exit rate close to 34%. This back-half-weighted margin recovery narrative is identical to ALLE’s own guidance, suggesting the pattern is industry-wide rather than company-specific — which may give investors more confidence in ALLE’s H2 margin expansion story. (SWK Wells Fargo Conference, June 9, 2026)</w:t>
      </w:r>
    </w:p>
    <w:p>
      <w:pPr>
        <w:pStyle w:val="Heading3"/>
      </w:pPr>
      <w:r>
        <w:rPr>
          <w:rFonts w:ascii="Calibri" w:hAnsi="Calibri"/>
          <w:b/>
          <w:color w:val="3B4259"/>
          <w:sz w:val="24"/>
        </w:rPr>
        <w:t>Peer Read-Through Summary</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Source / Date</w:t>
            </w:r>
          </w:p>
        </w:tc>
        <w:tc>
          <w:tcPr>
            <w:tcW w:type="dxa" w:w="2160"/>
            <w:shd w:val="clear" w:color="auto" w:fill="3B4259"/>
          </w:tcPr>
          <w:p>
            <w:r>
              <w:rPr>
                <w:rFonts w:ascii="Calibri" w:hAnsi="Calibri"/>
                <w:b/>
                <w:color w:val="FFFFFF"/>
                <w:sz w:val="22"/>
              </w:rPr>
              <w:t>Key Signal for ALLE</w:t>
            </w:r>
          </w:p>
        </w:tc>
        <w:tc>
          <w:tcPr>
            <w:tcW w:type="dxa" w:w="2160"/>
            <w:shd w:val="clear" w:color="auto" w:fill="3B4259"/>
          </w:tcPr>
          <w:p>
            <w:r>
              <w:rPr>
                <w:rFonts w:ascii="Calibri" w:hAnsi="Calibri"/>
                <w:b/>
                <w:color w:val="FFFFFF"/>
                <w:sz w:val="22"/>
              </w:rPr>
              <w:t>Direction</w:t>
            </w:r>
          </w:p>
        </w:tc>
      </w:tr>
      <w:tr>
        <w:tc>
          <w:tcPr>
            <w:tcW w:type="dxa" w:w="2160"/>
          </w:tcPr>
          <w:p>
            <w:r>
              <w:rPr>
                <w:rFonts w:ascii="Calibri" w:hAnsi="Calibri"/>
                <w:sz w:val="22"/>
              </w:rPr>
              <w:t>REZI (ADI)</w:t>
            </w:r>
          </w:p>
        </w:tc>
        <w:tc>
          <w:tcPr>
            <w:tcW w:type="dxa" w:w="2160"/>
          </w:tcPr>
          <w:p>
            <w:r>
              <w:rPr>
                <w:rFonts w:ascii="Calibri" w:hAnsi="Calibri"/>
                <w:sz w:val="22"/>
              </w:rPr>
              <w:t>Q1 Earnings (May 12); Baird Conf. (Jun 2); Investor Day (Jul 13)</w:t>
            </w:r>
          </w:p>
        </w:tc>
        <w:tc>
          <w:tcPr>
            <w:tcW w:type="dxa" w:w="2160"/>
          </w:tcPr>
          <w:p>
            <w:r>
              <w:rPr>
                <w:rFonts w:ascii="Calibri" w:hAnsi="Calibri"/>
                <w:sz w:val="22"/>
              </w:rPr>
              <w:t>Commercial security returning to growth; pricing accepted; Q2 lapping headwind; H2 inflection expected</w:t>
            </w:r>
          </w:p>
        </w:tc>
        <w:tc>
          <w:tcPr>
            <w:tcW w:type="dxa" w:w="2160"/>
          </w:tcPr>
          <w:p>
            <w:r>
              <w:rPr>
                <w:rFonts w:ascii="Calibri" w:hAnsi="Calibri"/>
                <w:b/>
                <w:color w:val="30A46C"/>
                <w:sz w:val="22"/>
              </w:rPr>
              <w:t>Mixed / Positive</w:t>
            </w:r>
          </w:p>
        </w:tc>
      </w:tr>
      <w:tr>
        <w:tc>
          <w:tcPr>
            <w:tcW w:type="dxa" w:w="2160"/>
          </w:tcPr>
          <w:p>
            <w:r>
              <w:rPr>
                <w:rFonts w:ascii="Calibri" w:hAnsi="Calibri"/>
                <w:sz w:val="22"/>
              </w:rPr>
              <w:t>CARR</w:t>
            </w:r>
          </w:p>
        </w:tc>
        <w:tc>
          <w:tcPr>
            <w:tcW w:type="dxa" w:w="2160"/>
          </w:tcPr>
          <w:p>
            <w:r>
              <w:rPr>
                <w:rFonts w:ascii="Calibri" w:hAnsi="Calibri"/>
                <w:sz w:val="22"/>
              </w:rPr>
              <w:t>Wells Fargo Conf. (Jun 9)</w:t>
            </w:r>
          </w:p>
        </w:tc>
        <w:tc>
          <w:tcPr>
            <w:tcW w:type="dxa" w:w="2160"/>
          </w:tcPr>
          <w:p>
            <w:r>
              <w:rPr>
                <w:rFonts w:ascii="Calibri" w:hAnsi="Calibri"/>
                <w:sz w:val="22"/>
              </w:rPr>
              <w:t>Non-res demand strong across verticals; Q2 on track; pricing realization progressing; resi better than feared</w:t>
            </w:r>
          </w:p>
        </w:tc>
        <w:tc>
          <w:tcPr>
            <w:tcW w:type="dxa" w:w="2160"/>
          </w:tcPr>
          <w:p>
            <w:r>
              <w:rPr>
                <w:rFonts w:ascii="Calibri" w:hAnsi="Calibri"/>
                <w:b/>
                <w:color w:val="30A46C"/>
                <w:sz w:val="22"/>
              </w:rPr>
              <w:t>Positive</w:t>
            </w:r>
          </w:p>
        </w:tc>
      </w:tr>
      <w:tr>
        <w:tc>
          <w:tcPr>
            <w:tcW w:type="dxa" w:w="2160"/>
          </w:tcPr>
          <w:p>
            <w:r>
              <w:rPr>
                <w:rFonts w:ascii="Calibri" w:hAnsi="Calibri"/>
                <w:sz w:val="22"/>
              </w:rPr>
              <w:t>JCI</w:t>
            </w:r>
          </w:p>
        </w:tc>
        <w:tc>
          <w:tcPr>
            <w:tcW w:type="dxa" w:w="2160"/>
          </w:tcPr>
          <w:p>
            <w:r>
              <w:rPr>
                <w:rFonts w:ascii="Calibri" w:hAnsi="Calibri"/>
                <w:sz w:val="22"/>
              </w:rPr>
              <w:t>Gemba Day (Jun 1)</w:t>
            </w:r>
          </w:p>
        </w:tc>
        <w:tc>
          <w:tcPr>
            <w:tcW w:type="dxa" w:w="2160"/>
          </w:tcPr>
          <w:p>
            <w:r>
              <w:rPr>
                <w:rFonts w:ascii="Calibri" w:hAnsi="Calibri"/>
                <w:sz w:val="22"/>
              </w:rPr>
              <w:t>Record orders/backlog; institutional non-res demand robust; data center growth validates ALLE’s positioning</w:t>
            </w:r>
          </w:p>
        </w:tc>
        <w:tc>
          <w:tcPr>
            <w:tcW w:type="dxa" w:w="2160"/>
          </w:tcPr>
          <w:p>
            <w:r>
              <w:rPr>
                <w:rFonts w:ascii="Calibri" w:hAnsi="Calibri"/>
                <w:b/>
                <w:color w:val="30A46C"/>
                <w:sz w:val="22"/>
              </w:rPr>
              <w:t>Positive</w:t>
            </w:r>
          </w:p>
        </w:tc>
      </w:tr>
      <w:tr>
        <w:tc>
          <w:tcPr>
            <w:tcW w:type="dxa" w:w="2160"/>
          </w:tcPr>
          <w:p>
            <w:r>
              <w:rPr>
                <w:rFonts w:ascii="Calibri" w:hAnsi="Calibri"/>
                <w:sz w:val="22"/>
              </w:rPr>
              <w:t>OTIS</w:t>
            </w:r>
          </w:p>
        </w:tc>
        <w:tc>
          <w:tcPr>
            <w:tcW w:type="dxa" w:w="2160"/>
          </w:tcPr>
          <w:p>
            <w:r>
              <w:rPr>
                <w:rFonts w:ascii="Calibri" w:hAnsi="Calibri"/>
                <w:sz w:val="22"/>
              </w:rPr>
              <w:t>Q2 2026 Earnings (Jul 22)</w:t>
            </w:r>
          </w:p>
        </w:tc>
        <w:tc>
          <w:tcPr>
            <w:tcW w:type="dxa" w:w="2160"/>
          </w:tcPr>
          <w:p>
            <w:r>
              <w:rPr>
                <w:rFonts w:ascii="Calibri" w:hAnsi="Calibri"/>
                <w:sz w:val="22"/>
              </w:rPr>
              <w:t>Americas non-res orders +15%; 8 straight quarters of growth; modernization backlog +26%; margin pressure from labor/materials</w:t>
            </w:r>
          </w:p>
        </w:tc>
        <w:tc>
          <w:tcPr>
            <w:tcW w:type="dxa" w:w="2160"/>
          </w:tcPr>
          <w:p>
            <w:r>
              <w:rPr>
                <w:rFonts w:ascii="Calibri" w:hAnsi="Calibri"/>
                <w:b/>
                <w:color w:val="30A46C"/>
                <w:sz w:val="22"/>
              </w:rPr>
              <w:t>Positive / Cautious on margins</w:t>
            </w:r>
          </w:p>
        </w:tc>
      </w:tr>
      <w:tr>
        <w:tc>
          <w:tcPr>
            <w:tcW w:type="dxa" w:w="2160"/>
          </w:tcPr>
          <w:p>
            <w:r>
              <w:rPr>
                <w:rFonts w:ascii="Calibri" w:hAnsi="Calibri"/>
                <w:sz w:val="22"/>
              </w:rPr>
              <w:t>SWK</w:t>
            </w:r>
          </w:p>
        </w:tc>
        <w:tc>
          <w:tcPr>
            <w:tcW w:type="dxa" w:w="2160"/>
          </w:tcPr>
          <w:p>
            <w:r>
              <w:rPr>
                <w:rFonts w:ascii="Calibri" w:hAnsi="Calibri"/>
                <w:sz w:val="22"/>
              </w:rPr>
              <w:t>Wells Fargo Conf. (Jun 9)</w:t>
            </w:r>
          </w:p>
        </w:tc>
        <w:tc>
          <w:tcPr>
            <w:tcW w:type="dxa" w:w="2160"/>
          </w:tcPr>
          <w:p>
            <w:r>
              <w:rPr>
                <w:rFonts w:ascii="Calibri" w:hAnsi="Calibri"/>
                <w:sz w:val="22"/>
              </w:rPr>
              <w:t>301 tariffs returning Jul 25 (risk); professional markets outperforming DIY; H2 margin recovery narrative consistent with ALLE</w:t>
            </w:r>
          </w:p>
        </w:tc>
        <w:tc>
          <w:tcPr>
            <w:tcW w:type="dxa" w:w="2160"/>
          </w:tcPr>
          <w:p>
            <w:r>
              <w:rPr>
                <w:rFonts w:ascii="Calibri" w:hAnsi="Calibri"/>
                <w:b/>
                <w:color w:val="002FA7"/>
                <w:sz w:val="22"/>
              </w:rPr>
              <w:t>Mixed</w:t>
            </w:r>
          </w:p>
        </w:tc>
      </w:tr>
    </w:tbl>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management’s June 9 confirmation that the International ERP business has "largely stopped the revenue bleed" — this is the critical proof point the market needs to re-rate the stock. The secondary development is the announcement of pricing actions to offset tariff headwinds, which are not yet in market revenue but are expected to protect EPS.</w:t>
      </w:r>
    </w:p>
    <w:p>
      <w:pPr>
        <w:pStyle w:val="ListBullet"/>
        <w:ind w:left="360" w:hanging="360"/>
      </w:pPr>
      <w:r>
        <w:rPr>
          <w:rFonts w:ascii="Calibri" w:hAnsi="Calibri"/>
          <w:b/>
          <w:color w:val="525866"/>
          <w:sz w:val="22"/>
        </w:rPr>
        <w:t xml:space="preserve">June 9, 2026 — Wells Fargo Industrials &amp; Materials Conference: </w:t>
      </w:r>
      <w:r>
        <w:rPr>
          <w:rFonts w:ascii="Calibri" w:hAnsi="Calibri"/>
          <w:color w:val="525866"/>
          <w:sz w:val="22"/>
        </w:rPr>
        <w:t xml:space="preserve">CEO John Stone confirmed the International ERP business has "largely stopped the revenue bleed" and is "back to producing and selling at rate." He reaffirmed full-year guidance and described spec activity as "very strong and broad-based." This was the most significant post-earnings update and provided a modest catalyst for the stock’s late-June recovery. </w:t>
      </w:r>
      <w:r>
        <w:rPr>
          <w:rFonts w:ascii="Calibri" w:hAnsi="Calibri"/>
          <w:b/>
          <w:i/>
          <w:color w:val="525866"/>
          <w:sz w:val="22"/>
        </w:rPr>
        <w:t>Implication: Reduces tail risk on International miss; Q2 print will be the first hard data point to validate this claim.</w:t>
      </w:r>
    </w:p>
    <w:p>
      <w:pPr>
        <w:pStyle w:val="ListBullet"/>
        <w:ind w:left="360" w:hanging="360"/>
      </w:pPr>
      <w:r>
        <w:rPr>
          <w:rFonts w:ascii="Calibri" w:hAnsi="Calibri"/>
          <w:b/>
          <w:color w:val="525866"/>
          <w:sz w:val="22"/>
        </w:rPr>
        <w:t xml:space="preserve">April 28, 2026 — Q1 2026 Earnings: DCI Acquisition Closed; Reported Revenue Guidance Raised: </w:t>
      </w:r>
      <w:r>
        <w:rPr>
          <w:rFonts w:ascii="Calibri" w:hAnsi="Calibri"/>
          <w:color w:val="525866"/>
          <w:sz w:val="22"/>
        </w:rPr>
        <w:t xml:space="preserve">Allegion completed the acquisition of DCI (door hardware and access control), adding ~1 point to reported revenue growth and raising the FY 2026 reported revenue outlook to +6%–+8% (from +5%–+7%). DCI is expected to be a ~30 bps margin rate headwind for the full year. </w:t>
      </w:r>
      <w:r>
        <w:rPr>
          <w:rFonts w:ascii="Calibri" w:hAnsi="Calibri"/>
          <w:b/>
          <w:i/>
          <w:color w:val="525866"/>
          <w:sz w:val="22"/>
        </w:rPr>
        <w:t>Implication: Acquisition adds revenue but dilutes margins in the near term; integration execution will be watched.</w:t>
      </w:r>
    </w:p>
    <w:p>
      <w:pPr>
        <w:pStyle w:val="ListBullet"/>
        <w:ind w:left="360" w:hanging="360"/>
      </w:pPr>
      <w:r>
        <w:rPr>
          <w:rFonts w:ascii="Calibri" w:hAnsi="Calibri"/>
          <w:b/>
          <w:color w:val="525866"/>
          <w:sz w:val="22"/>
        </w:rPr>
        <w:t xml:space="preserve">April 28, 2026 — Tariff Pricing Actions Announced: </w:t>
      </w:r>
      <w:r>
        <w:rPr>
          <w:rFonts w:ascii="Calibri" w:hAnsi="Calibri"/>
          <w:color w:val="525866"/>
          <w:sz w:val="22"/>
        </w:rPr>
        <w:t xml:space="preserve">Management disclosed an incremental ~1% of COGS headwind from tariffs and other inflation (fuel), and announced pricing actions (surcharges or list price increases) that are "not yet in the market." The company expects to offset this headwind at the operating income and EPS level through a combination of price and cost actions. </w:t>
      </w:r>
      <w:r>
        <w:rPr>
          <w:rFonts w:ascii="Calibri" w:hAnsi="Calibri"/>
          <w:b/>
          <w:i/>
          <w:color w:val="525866"/>
          <w:sz w:val="22"/>
        </w:rPr>
        <w:t>Implication: Q2 revenue may not yet fully reflect pricing actions; margin rate will face pressure but dollar-basis EPS should be protected.</w:t>
      </w:r>
    </w:p>
    <w:p>
      <w:pPr>
        <w:pStyle w:val="ListBullet"/>
        <w:ind w:left="360" w:hanging="360"/>
      </w:pPr>
      <w:r>
        <w:rPr>
          <w:rFonts w:ascii="Calibri" w:hAnsi="Calibri"/>
          <w:b/>
          <w:color w:val="525866"/>
          <w:sz w:val="22"/>
        </w:rPr>
        <w:t xml:space="preserve">April 2026 — Board Authorizes Share Repurchase Program: </w:t>
      </w:r>
      <w:r>
        <w:rPr>
          <w:rFonts w:ascii="Calibri" w:hAnsi="Calibri"/>
          <w:color w:val="525866"/>
          <w:sz w:val="22"/>
        </w:rPr>
        <w:t xml:space="preserve">The board authorized a meaningful share repurchase program, and management explicitly characterized buybacks as "attractive at current valuation levels." This signals management confidence in the stock’s intrinsic value at post-earnings depressed levels. </w:t>
      </w:r>
      <w:r>
        <w:rPr>
          <w:rFonts w:ascii="Calibri" w:hAnsi="Calibri"/>
          <w:b/>
          <w:i/>
          <w:color w:val="525866"/>
          <w:sz w:val="22"/>
        </w:rPr>
        <w:t>Implication: Buyback activity could provide EPS support and signals management conviction in the recovery narrative.</w:t>
      </w:r>
    </w:p>
    <w:p>
      <w:pPr>
        <w:pStyle w:val="ListBullet"/>
        <w:ind w:left="360" w:hanging="360"/>
      </w:pPr>
      <w:r>
        <w:rPr>
          <w:rFonts w:ascii="Calibri" w:hAnsi="Calibri"/>
          <w:b/>
          <w:color w:val="525866"/>
          <w:sz w:val="22"/>
        </w:rPr>
        <w:t xml:space="preserve">June 9, 2026 — Non-Residential Demand Indicators: </w:t>
      </w:r>
      <w:r>
        <w:rPr>
          <w:rFonts w:ascii="Calibri" w:hAnsi="Calibri"/>
          <w:color w:val="525866"/>
          <w:sz w:val="22"/>
        </w:rPr>
        <w:t xml:space="preserve">CEO Stone noted the Dodge Momentum Index has been "strongly positive for a long time," multifamily starts have "turned positive for the first time in a couple of years," and company formation in major metros (NYC, San Francisco) is driving Class A office demand. Spec activity described as "very strong and broad-based." </w:t>
      </w:r>
      <w:r>
        <w:rPr>
          <w:rFonts w:ascii="Calibri" w:hAnsi="Calibri"/>
          <w:b/>
          <w:i/>
          <w:color w:val="525866"/>
          <w:sz w:val="22"/>
        </w:rPr>
        <w:t>Implication: Leading indicators support continued Americas non-res organic growth in Q2 and beyond.</w:t>
      </w:r>
    </w:p>
    <w:p>
      <w:pPr>
        <w:pStyle w:val="ListBullet"/>
        <w:ind w:left="360" w:hanging="360"/>
      </w:pPr>
      <w:r>
        <w:rPr>
          <w:rFonts w:ascii="Calibri" w:hAnsi="Calibri"/>
          <w:b/>
          <w:color w:val="525866"/>
          <w:sz w:val="22"/>
        </w:rPr>
        <w:t xml:space="preserve">July 22, 2026 — OTIS Q2 2026 Earnings (Peer Read-Through): </w:t>
      </w:r>
      <w:r>
        <w:rPr>
          <w:rFonts w:ascii="Calibri" w:hAnsi="Calibri"/>
          <w:color w:val="525866"/>
          <w:sz w:val="22"/>
        </w:rPr>
        <w:t xml:space="preserve">Otis reported 6% organic sales growth in Q2 with North America new equipment orders up 15% for the eighth consecutive quarter. Americas new equipment sales grew 10%. This is the most timely confirmation of robust non-residential construction demand heading into ALLE’s print. </w:t>
      </w:r>
      <w:r>
        <w:rPr>
          <w:rFonts w:ascii="Calibri" w:hAnsi="Calibri"/>
          <w:b/>
          <w:i/>
          <w:color w:val="525866"/>
          <w:sz w:val="22"/>
        </w:rPr>
        <w:t>Implication: Strong positive read-through for ALLE’s Americas non-res organic growth in Q2 2026.</w:t>
      </w:r>
    </w:p>
    <w:p>
      <w:pPr>
        <w:pStyle w:val="ListBullet"/>
        <w:ind w:left="360" w:hanging="360"/>
      </w:pPr>
      <w:r>
        <w:rPr>
          <w:rFonts w:ascii="Calibri" w:hAnsi="Calibri"/>
          <w:i/>
          <w:color w:val="525866"/>
          <w:sz w:val="22"/>
        </w:rPr>
        <w:t>No analyst rating changes found for ALLE since April 28, 2026 in the data available.</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No open-market buys or discretionary sells by executives since the Q1 earnings print. The only notable transaction is a small open-market sale by SVP &amp; Chief Innovation Officer Robert Martens (May 7, ~$3,993 shares) — not on a 10b5-1 plan, but the size is modest. Director transactions in June are routine equity award-related (Form 4 code ‘A’ = award, ‘F’ = tax withholding). </w:t>
      </w:r>
      <w:r>
        <w:rPr>
          <w:rFonts w:ascii="Calibri" w:hAnsi="Calibri"/>
          <w:b/>
          <w:color w:val="525866"/>
          <w:sz w:val="22"/>
        </w:rPr>
        <w:t>No clustered insider buying to signal conviction, but also no large discretionary selling — neutral signal overall.</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Transaction 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Martens, Robert C.</w:t>
            </w:r>
          </w:p>
        </w:tc>
        <w:tc>
          <w:tcPr>
            <w:tcW w:type="dxa" w:w="1440"/>
          </w:tcPr>
          <w:p>
            <w:r>
              <w:rPr>
                <w:rFonts w:ascii="Calibri" w:hAnsi="Calibri"/>
                <w:sz w:val="22"/>
              </w:rPr>
              <w:t>SVP — Chief Innovation &amp; Design</w:t>
            </w:r>
          </w:p>
        </w:tc>
        <w:tc>
          <w:tcPr>
            <w:tcW w:type="dxa" w:w="1440"/>
          </w:tcPr>
          <w:p>
            <w:r>
              <w:rPr>
                <w:rFonts w:ascii="Calibri" w:hAnsi="Calibri"/>
                <w:sz w:val="22"/>
              </w:rPr>
              <w:t>Open Market Sale</w:t>
            </w:r>
          </w:p>
        </w:tc>
        <w:tc>
          <w:tcPr>
            <w:tcW w:type="dxa" w:w="1440"/>
          </w:tcPr>
          <w:p>
            <w:r>
              <w:rPr>
                <w:rFonts w:ascii="Calibri" w:hAnsi="Calibri"/>
                <w:sz w:val="22"/>
              </w:rPr>
              <w:t>3,993 shares</w:t>
            </w:r>
          </w:p>
        </w:tc>
        <w:tc>
          <w:tcPr>
            <w:tcW w:type="dxa" w:w="1440"/>
          </w:tcPr>
          <w:p>
            <w:r>
              <w:rPr>
                <w:rFonts w:ascii="Calibri" w:hAnsi="Calibri"/>
                <w:sz w:val="22"/>
              </w:rPr>
              <w:t>May 7, 2026</w:t>
            </w:r>
          </w:p>
        </w:tc>
        <w:tc>
          <w:tcPr>
            <w:tcW w:type="dxa" w:w="1440"/>
          </w:tcPr>
          <w:p>
            <w:r>
              <w:rPr>
                <w:rFonts w:ascii="Calibri" w:hAnsi="Calibri"/>
                <w:sz w:val="22"/>
              </w:rPr>
              <w:t>Discretionary sale; not on 10b5-1 plan; modest size relative to 8,570 shares owned post-transaction</w:t>
            </w:r>
          </w:p>
        </w:tc>
      </w:tr>
      <w:tr>
        <w:tc>
          <w:tcPr>
            <w:tcW w:type="dxa" w:w="1440"/>
          </w:tcPr>
          <w:p>
            <w:r>
              <w:rPr>
                <w:rFonts w:ascii="Calibri" w:hAnsi="Calibri"/>
                <w:sz w:val="22"/>
              </w:rPr>
              <w:t>Multiple Directors (6)</w:t>
            </w:r>
          </w:p>
        </w:tc>
        <w:tc>
          <w:tcPr>
            <w:tcW w:type="dxa" w:w="1440"/>
          </w:tcPr>
          <w:p>
            <w:r>
              <w:rPr>
                <w:rFonts w:ascii="Calibri" w:hAnsi="Calibri"/>
                <w:sz w:val="22"/>
              </w:rPr>
              <w:t>Board of Directors</w:t>
            </w:r>
          </w:p>
        </w:tc>
        <w:tc>
          <w:tcPr>
            <w:tcW w:type="dxa" w:w="1440"/>
          </w:tcPr>
          <w:p>
            <w:r>
              <w:rPr>
                <w:rFonts w:ascii="Calibri" w:hAnsi="Calibri"/>
                <w:sz w:val="22"/>
              </w:rPr>
              <w:t>Equity Award (Grant)</w:t>
            </w:r>
          </w:p>
        </w:tc>
        <w:tc>
          <w:tcPr>
            <w:tcW w:type="dxa" w:w="1440"/>
          </w:tcPr>
          <w:p>
            <w:r>
              <w:rPr>
                <w:rFonts w:ascii="Calibri" w:hAnsi="Calibri"/>
                <w:sz w:val="22"/>
              </w:rPr>
              <w:t>1,074–1,649 shares each</w:t>
            </w:r>
          </w:p>
        </w:tc>
        <w:tc>
          <w:tcPr>
            <w:tcW w:type="dxa" w:w="1440"/>
          </w:tcPr>
          <w:p>
            <w:r>
              <w:rPr>
                <w:rFonts w:ascii="Calibri" w:hAnsi="Calibri"/>
                <w:sz w:val="22"/>
              </w:rPr>
              <w:t>June 4, 2026</w:t>
            </w:r>
          </w:p>
        </w:tc>
        <w:tc>
          <w:tcPr>
            <w:tcW w:type="dxa" w:w="1440"/>
          </w:tcPr>
          <w:p>
            <w:r>
              <w:rPr>
                <w:rFonts w:ascii="Calibri" w:hAnsi="Calibri"/>
                <w:sz w:val="22"/>
              </w:rPr>
              <w:t>Routine annual equity award (Form 4 code ‘A’); not open-market purchases; directors: Main, Mizell, Parent Haughey, Peters, Rubin, Sengstack, Vardhan</w:t>
            </w:r>
          </w:p>
        </w:tc>
      </w:tr>
      <w:tr>
        <w:tc>
          <w:tcPr>
            <w:tcW w:type="dxa" w:w="1440"/>
          </w:tcPr>
          <w:p>
            <w:r>
              <w:rPr>
                <w:rFonts w:ascii="Calibri" w:hAnsi="Calibri"/>
                <w:sz w:val="22"/>
              </w:rPr>
              <w:t>Multiple Directors (6)</w:t>
            </w:r>
          </w:p>
        </w:tc>
        <w:tc>
          <w:tcPr>
            <w:tcW w:type="dxa" w:w="1440"/>
          </w:tcPr>
          <w:p>
            <w:r>
              <w:rPr>
                <w:rFonts w:ascii="Calibri" w:hAnsi="Calibri"/>
                <w:sz w:val="22"/>
              </w:rPr>
              <w:t>Board of Directors</w:t>
            </w:r>
          </w:p>
        </w:tc>
        <w:tc>
          <w:tcPr>
            <w:tcW w:type="dxa" w:w="1440"/>
          </w:tcPr>
          <w:p>
            <w:r>
              <w:rPr>
                <w:rFonts w:ascii="Calibri" w:hAnsi="Calibri"/>
                <w:sz w:val="22"/>
              </w:rPr>
              <w:t>Tax Withholding (Share Surrender)</w:t>
            </w:r>
          </w:p>
        </w:tc>
        <w:tc>
          <w:tcPr>
            <w:tcW w:type="dxa" w:w="1440"/>
          </w:tcPr>
          <w:p>
            <w:r>
              <w:rPr>
                <w:rFonts w:ascii="Calibri" w:hAnsi="Calibri"/>
                <w:sz w:val="22"/>
              </w:rPr>
              <w:t>292–449 shares each</w:t>
            </w:r>
          </w:p>
        </w:tc>
        <w:tc>
          <w:tcPr>
            <w:tcW w:type="dxa" w:w="1440"/>
          </w:tcPr>
          <w:p>
            <w:r>
              <w:rPr>
                <w:rFonts w:ascii="Calibri" w:hAnsi="Calibri"/>
                <w:sz w:val="22"/>
              </w:rPr>
              <w:t>June 5, 2026</w:t>
            </w:r>
          </w:p>
        </w:tc>
        <w:tc>
          <w:tcPr>
            <w:tcW w:type="dxa" w:w="1440"/>
          </w:tcPr>
          <w:p>
            <w:r>
              <w:rPr>
                <w:rFonts w:ascii="Calibri" w:hAnsi="Calibri"/>
                <w:sz w:val="22"/>
              </w:rPr>
              <w:t>Routine tax withholding on equity award vesting (Form 4 code ‘F’); obligation-driven, not discretionary selling</w:t>
            </w:r>
          </w:p>
        </w:tc>
      </w:tr>
      <w:tr>
        <w:tc>
          <w:tcPr>
            <w:tcW w:type="dxa" w:w="1440"/>
          </w:tcPr>
          <w:p>
            <w:r>
              <w:rPr>
                <w:rFonts w:ascii="Calibri" w:hAnsi="Calibri"/>
                <w:sz w:val="22"/>
              </w:rPr>
              <w:t>Blasko, Joseph</w:t>
            </w:r>
          </w:p>
        </w:tc>
        <w:tc>
          <w:tcPr>
            <w:tcW w:type="dxa" w:w="1440"/>
          </w:tcPr>
          <w:p>
            <w:r>
              <w:rPr>
                <w:rFonts w:ascii="Calibri" w:hAnsi="Calibri"/>
                <w:sz w:val="22"/>
              </w:rPr>
              <w:t>SVP and General Counsel</w:t>
            </w:r>
          </w:p>
        </w:tc>
        <w:tc>
          <w:tcPr>
            <w:tcW w:type="dxa" w:w="1440"/>
          </w:tcPr>
          <w:p>
            <w:r>
              <w:rPr>
                <w:rFonts w:ascii="Calibri" w:hAnsi="Calibri"/>
                <w:sz w:val="22"/>
              </w:rPr>
              <w:t>Tax Withholding (Share Surrender)</w:t>
            </w:r>
          </w:p>
        </w:tc>
        <w:tc>
          <w:tcPr>
            <w:tcW w:type="dxa" w:w="1440"/>
          </w:tcPr>
          <w:p>
            <w:r>
              <w:rPr>
                <w:rFonts w:ascii="Calibri" w:hAnsi="Calibri"/>
                <w:sz w:val="22"/>
              </w:rPr>
              <w:t>145 shares</w:t>
            </w:r>
          </w:p>
        </w:tc>
        <w:tc>
          <w:tcPr>
            <w:tcW w:type="dxa" w:w="1440"/>
          </w:tcPr>
          <w:p>
            <w:r>
              <w:rPr>
                <w:rFonts w:ascii="Calibri" w:hAnsi="Calibri"/>
                <w:sz w:val="22"/>
              </w:rPr>
              <w:t>July 2, 2026</w:t>
            </w:r>
          </w:p>
        </w:tc>
        <w:tc>
          <w:tcPr>
            <w:tcW w:type="dxa" w:w="1440"/>
          </w:tcPr>
          <w:p>
            <w:r>
              <w:rPr>
                <w:rFonts w:ascii="Calibri" w:hAnsi="Calibri"/>
                <w:sz w:val="22"/>
              </w:rPr>
              <w:t>Routine tax withholding on equity vesting (Form 4 code ‘F’); obligation-driven, not discretionary</w:t>
            </w:r>
          </w:p>
        </w:tc>
      </w:tr>
    </w:tbl>
    <w:p>
      <w:r>
        <w:rPr>
          <w:rFonts w:ascii="Calibri" w:hAnsi="Calibri"/>
          <w:color w:val="525866"/>
          <w:sz w:val="22"/>
        </w:rPr>
        <w:t>The only transaction of note is the May 7 open-market sale by SVP Martens (3,993 shares), which occurred shortly after the Q1 earnings miss and stock decline. While not on a 10b5-1 plan, the size is modest and does not constitute a meaningful bearish signal. The absence of any open-market buying by executives at post-earnings depressed prices (~$125–$135) is notable — management has instead signaled confidence through the board-authorized share repurchase program rather than personal purchases.</w:t>
      </w:r>
    </w:p>
    <w:p>
      <w:r>
        <w:rPr>
          <w:rFonts w:ascii="Calibri" w:hAnsi="Calibri"/>
          <w:i/>
          <w:color w:val="525866"/>
          <w:sz w:val="22"/>
        </w:rPr>
        <w:t>Source: Insider Transaction Data (SEC Form 4 filings).</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